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717B9">
      <w:pPr>
        <w:pStyle w:val="Wyrodkowany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BURMISTRZ MIASTA PŁOŃSK</w:t>
      </w: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spacing w:line="360" w:lineRule="auto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ZMIANA MIEJSCOWEGO PLANU OGÓLNEGO </w:t>
      </w:r>
    </w:p>
    <w:p w:rsidR="00000000" w:rsidRDefault="007717B9">
      <w:pPr>
        <w:pStyle w:val="Wyrodkowany"/>
        <w:spacing w:line="360" w:lineRule="auto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ZAGOSPODAROWANIA PRZESTRZENNEGO MIASTA PŁOŃSK  </w:t>
      </w:r>
    </w:p>
    <w:p w:rsidR="00000000" w:rsidRDefault="007717B9">
      <w:pPr>
        <w:pStyle w:val="Wyrodkowany"/>
        <w:spacing w:line="360" w:lineRule="auto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DLA OBSZARU POŁOŻONEGO W PŁOŃSKU </w:t>
      </w:r>
    </w:p>
    <w:p w:rsidR="00000000" w:rsidRDefault="007717B9">
      <w:pPr>
        <w:pStyle w:val="Wyrodkowany"/>
        <w:spacing w:line="360" w:lineRule="auto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PRZY UL. PRZEMYSŁOWEJ</w:t>
      </w: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ind w:left="0"/>
        <w:jc w:val="both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ind w:left="0"/>
        <w:jc w:val="both"/>
        <w:rPr>
          <w:color w:val="000000"/>
        </w:rPr>
      </w:pPr>
    </w:p>
    <w:p w:rsidR="00000000" w:rsidRDefault="007717B9">
      <w:pPr>
        <w:pStyle w:val="Wyrodkowany"/>
        <w:ind w:left="0"/>
        <w:jc w:val="both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color w:val="000000"/>
        </w:rPr>
      </w:pPr>
      <w:r>
        <w:rPr>
          <w:color w:val="000000"/>
        </w:rPr>
        <w:t>WARSZAWA 2010</w:t>
      </w:r>
    </w:p>
    <w:p w:rsidR="00000000" w:rsidRDefault="007717B9">
      <w:pPr>
        <w:pStyle w:val="Wyrodkowany"/>
        <w:rPr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ind w:left="0"/>
        <w:rPr>
          <w:color w:val="000000"/>
          <w:sz w:val="28"/>
          <w:szCs w:val="28"/>
        </w:rPr>
      </w:pPr>
      <w:r>
        <w:rPr>
          <w:color w:val="000000"/>
          <w:szCs w:val="24"/>
        </w:rPr>
        <w:t>Sporząd</w:t>
      </w:r>
      <w:r>
        <w:rPr>
          <w:color w:val="000000"/>
          <w:szCs w:val="24"/>
        </w:rPr>
        <w:t>zający:</w:t>
      </w:r>
      <w:r>
        <w:rPr>
          <w:color w:val="000000"/>
          <w:szCs w:val="24"/>
        </w:rPr>
        <w:tab/>
      </w:r>
      <w:r>
        <w:rPr>
          <w:color w:val="000000"/>
          <w:sz w:val="28"/>
          <w:szCs w:val="28"/>
        </w:rPr>
        <w:tab/>
      </w:r>
      <w:r>
        <w:rPr>
          <w:rFonts w:ascii="Arial Black" w:hAnsi="Arial Black"/>
          <w:b/>
          <w:color w:val="000000"/>
          <w:sz w:val="28"/>
          <w:szCs w:val="28"/>
        </w:rPr>
        <w:t>Burmistrz Miasta Płońsk</w:t>
      </w:r>
    </w:p>
    <w:p w:rsidR="00000000" w:rsidRDefault="007717B9">
      <w:pPr>
        <w:pStyle w:val="Stopka"/>
        <w:tabs>
          <w:tab w:val="clear" w:pos="4536"/>
          <w:tab w:val="clear" w:pos="9072"/>
        </w:tabs>
        <w:ind w:left="0"/>
        <w:rPr>
          <w:rFonts w:ascii="Arial Black" w:hAnsi="Arial Black"/>
          <w:color w:val="000000"/>
          <w:sz w:val="28"/>
          <w:szCs w:val="28"/>
        </w:rPr>
      </w:pPr>
      <w:r>
        <w:rPr>
          <w:color w:val="000000"/>
          <w:szCs w:val="24"/>
        </w:rPr>
        <w:t>Umowa: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rFonts w:ascii="Arial Black" w:hAnsi="Arial Black"/>
          <w:color w:val="000000"/>
          <w:sz w:val="28"/>
          <w:szCs w:val="28"/>
        </w:rPr>
        <w:t>Nr 342-14/08</w:t>
      </w:r>
    </w:p>
    <w:p w:rsidR="00000000" w:rsidRDefault="007717B9">
      <w:pPr>
        <w:ind w:left="0"/>
        <w:rPr>
          <w:rFonts w:ascii="Arial Black" w:hAnsi="Arial Black"/>
          <w:color w:val="000000"/>
        </w:rPr>
      </w:pPr>
    </w:p>
    <w:p w:rsidR="00000000" w:rsidRDefault="007717B9">
      <w:pPr>
        <w:ind w:left="0"/>
        <w:rPr>
          <w:rFonts w:ascii="Arial Black" w:hAnsi="Arial Black"/>
          <w:color w:val="000000"/>
        </w:rPr>
      </w:pP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ind w:left="0"/>
        <w:rPr>
          <w:color w:val="000000"/>
          <w:szCs w:val="24"/>
        </w:rPr>
      </w:pPr>
      <w:r>
        <w:rPr>
          <w:color w:val="000000"/>
          <w:szCs w:val="24"/>
        </w:rPr>
        <w:t>Wykonawca: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pStyle w:val="Wyrodkowany"/>
        <w:ind w:left="0" w:firstLine="2835"/>
        <w:jc w:val="left"/>
        <w:rPr>
          <w:rFonts w:ascii="Arial Black" w:hAnsi="Arial Black" w:cs="Arial"/>
          <w:b/>
          <w:color w:val="000000"/>
        </w:rPr>
      </w:pPr>
      <w:r>
        <w:rPr>
          <w:rFonts w:ascii="Arial Black" w:hAnsi="Arial Black" w:cs="Arial"/>
          <w:b/>
          <w:color w:val="000000"/>
        </w:rPr>
        <w:t>BUDPLAN Sp. z o.o.</w:t>
      </w:r>
    </w:p>
    <w:p w:rsidR="00000000" w:rsidRDefault="007717B9">
      <w:pPr>
        <w:pStyle w:val="Wyrodkowany"/>
        <w:ind w:left="0" w:firstLine="2835"/>
        <w:jc w:val="left"/>
        <w:rPr>
          <w:rFonts w:cs="Arial"/>
          <w:color w:val="000000"/>
        </w:rPr>
      </w:pPr>
      <w:r>
        <w:rPr>
          <w:rFonts w:cs="Arial"/>
          <w:color w:val="000000"/>
        </w:rPr>
        <w:t>04 – 390 W A R S Z A W A, ul.  gen. Ludwika Kickiego  26 B /10</w:t>
      </w:r>
    </w:p>
    <w:p w:rsidR="00000000" w:rsidRDefault="007717B9">
      <w:pPr>
        <w:pStyle w:val="Wyrodkowany"/>
        <w:ind w:left="0" w:firstLine="2835"/>
        <w:jc w:val="left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tel. Fax:( 22 ) 870 42 62,  e-mail:  budplan@vp.pl</w:t>
      </w:r>
    </w:p>
    <w:p w:rsidR="00000000" w:rsidRDefault="007717B9">
      <w:pPr>
        <w:pStyle w:val="Wyrodkowany"/>
        <w:ind w:left="0" w:firstLine="2835"/>
        <w:jc w:val="left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BGKII O/Wwa 74113010200300000000035599, NIP 527-11-07</w:t>
      </w:r>
      <w:r>
        <w:rPr>
          <w:rFonts w:cs="Arial"/>
          <w:color w:val="000000"/>
          <w:sz w:val="20"/>
          <w:szCs w:val="20"/>
        </w:rPr>
        <w:t>-422</w:t>
      </w:r>
    </w:p>
    <w:p w:rsidR="00000000" w:rsidRDefault="007717B9">
      <w:pPr>
        <w:ind w:left="0"/>
        <w:rPr>
          <w:color w:val="000000"/>
          <w:szCs w:val="24"/>
        </w:rPr>
      </w:pPr>
    </w:p>
    <w:p w:rsidR="00000000" w:rsidRDefault="007717B9">
      <w:pPr>
        <w:ind w:left="0" w:firstLine="851"/>
        <w:rPr>
          <w:color w:val="000000"/>
          <w:szCs w:val="24"/>
        </w:rPr>
      </w:pPr>
      <w:r>
        <w:rPr>
          <w:color w:val="000000"/>
          <w:szCs w:val="24"/>
        </w:rPr>
        <w:t>Zespół autorski:</w:t>
      </w:r>
    </w:p>
    <w:p w:rsidR="00000000" w:rsidRDefault="007717B9">
      <w:pPr>
        <w:rPr>
          <w:color w:val="000000"/>
          <w:szCs w:val="24"/>
        </w:rPr>
      </w:pPr>
    </w:p>
    <w:p w:rsidR="00000000" w:rsidRDefault="007717B9">
      <w:pPr>
        <w:ind w:left="1418"/>
        <w:rPr>
          <w:rFonts w:ascii="Arial Black" w:hAnsi="Arial Black"/>
          <w:b/>
          <w:color w:val="000000"/>
          <w:szCs w:val="24"/>
          <w:lang w:val="sv-SE"/>
        </w:rPr>
      </w:pPr>
      <w:r>
        <w:rPr>
          <w:color w:val="000000"/>
          <w:szCs w:val="24"/>
          <w:lang w:val="sv-SE"/>
        </w:rPr>
        <w:t xml:space="preserve">mgr inż. arch. </w:t>
      </w:r>
      <w:r>
        <w:rPr>
          <w:rFonts w:ascii="Arial Black" w:hAnsi="Arial Black"/>
          <w:b/>
          <w:color w:val="000000"/>
          <w:szCs w:val="24"/>
          <w:lang w:val="sv-SE"/>
        </w:rPr>
        <w:t xml:space="preserve">Anna Olbromska – Matusiak </w:t>
      </w:r>
      <w:r>
        <w:rPr>
          <w:rFonts w:ascii="Arial Black" w:hAnsi="Arial Black"/>
          <w:b/>
          <w:color w:val="000000"/>
          <w:szCs w:val="24"/>
          <w:lang w:val="sv-SE"/>
        </w:rPr>
        <w:tab/>
      </w:r>
    </w:p>
    <w:p w:rsidR="00000000" w:rsidRDefault="007717B9">
      <w:pPr>
        <w:ind w:left="1418"/>
        <w:rPr>
          <w:rFonts w:ascii="Arial Black" w:hAnsi="Arial Black"/>
          <w:b/>
          <w:color w:val="000000"/>
          <w:szCs w:val="24"/>
          <w:lang w:val="sv-SE"/>
        </w:rPr>
      </w:pPr>
      <w:r>
        <w:rPr>
          <w:color w:val="000000"/>
          <w:szCs w:val="24"/>
        </w:rPr>
        <w:t>członek Okręgowej Izby Urbanistów z siedzibą w Warszawie – WA-395</w:t>
      </w:r>
    </w:p>
    <w:p w:rsidR="00000000" w:rsidRDefault="007717B9">
      <w:pPr>
        <w:rPr>
          <w:color w:val="000000"/>
          <w:szCs w:val="24"/>
        </w:rPr>
      </w:pPr>
    </w:p>
    <w:p w:rsidR="00000000" w:rsidRDefault="007717B9">
      <w:pPr>
        <w:ind w:left="1418"/>
        <w:rPr>
          <w:color w:val="000000"/>
          <w:szCs w:val="24"/>
        </w:rPr>
      </w:pPr>
      <w:r>
        <w:rPr>
          <w:color w:val="000000"/>
          <w:szCs w:val="24"/>
        </w:rPr>
        <w:t xml:space="preserve">mgr </w:t>
      </w:r>
      <w:r>
        <w:rPr>
          <w:rFonts w:ascii="Arial Black" w:hAnsi="Arial Black"/>
          <w:b/>
          <w:color w:val="000000"/>
          <w:szCs w:val="24"/>
        </w:rPr>
        <w:t>Natalia Pawlik</w:t>
      </w:r>
    </w:p>
    <w:p w:rsidR="00000000" w:rsidRDefault="007717B9">
      <w:pPr>
        <w:rPr>
          <w:rFonts w:ascii="Arial Black" w:hAnsi="Arial Black"/>
          <w:color w:val="000000"/>
          <w:szCs w:val="24"/>
        </w:rPr>
      </w:pPr>
    </w:p>
    <w:p w:rsidR="00000000" w:rsidRDefault="007717B9">
      <w:pPr>
        <w:ind w:left="0" w:firstLine="851"/>
        <w:rPr>
          <w:color w:val="000000"/>
          <w:szCs w:val="24"/>
        </w:rPr>
      </w:pPr>
      <w:r>
        <w:rPr>
          <w:color w:val="000000"/>
          <w:szCs w:val="24"/>
        </w:rPr>
        <w:t>Współpraca:</w:t>
      </w:r>
    </w:p>
    <w:p w:rsidR="00000000" w:rsidRDefault="007717B9">
      <w:pPr>
        <w:rPr>
          <w:color w:val="000000"/>
          <w:szCs w:val="24"/>
        </w:rPr>
      </w:pPr>
    </w:p>
    <w:p w:rsidR="00000000" w:rsidRDefault="007717B9">
      <w:pPr>
        <w:ind w:left="1418"/>
        <w:rPr>
          <w:color w:val="000000"/>
          <w:szCs w:val="24"/>
        </w:rPr>
      </w:pPr>
      <w:r>
        <w:rPr>
          <w:color w:val="000000"/>
          <w:szCs w:val="24"/>
        </w:rPr>
        <w:t xml:space="preserve">mgr </w:t>
      </w:r>
      <w:r>
        <w:rPr>
          <w:rFonts w:ascii="Arial Black" w:hAnsi="Arial Black"/>
          <w:b/>
          <w:color w:val="000000"/>
          <w:szCs w:val="24"/>
        </w:rPr>
        <w:t>Iwona Szatkowska</w:t>
      </w:r>
    </w:p>
    <w:p w:rsidR="00000000" w:rsidRDefault="007717B9">
      <w:pPr>
        <w:ind w:left="1418"/>
        <w:rPr>
          <w:color w:val="000000"/>
          <w:szCs w:val="24"/>
        </w:rPr>
      </w:pPr>
      <w:r>
        <w:rPr>
          <w:color w:val="000000"/>
          <w:szCs w:val="24"/>
        </w:rPr>
        <w:t xml:space="preserve">mgr </w:t>
      </w:r>
      <w:r>
        <w:rPr>
          <w:rFonts w:ascii="Arial Black" w:hAnsi="Arial Black"/>
          <w:b/>
          <w:color w:val="000000"/>
          <w:szCs w:val="24"/>
        </w:rPr>
        <w:t>Maciej Kos</w:t>
      </w:r>
    </w:p>
    <w:p w:rsidR="00000000" w:rsidRDefault="007717B9">
      <w:pPr>
        <w:pStyle w:val="Wyrodkowany"/>
        <w:rPr>
          <w:rFonts w:cs="Arial"/>
          <w:color w:val="000000"/>
        </w:rPr>
      </w:pPr>
    </w:p>
    <w:p w:rsidR="00000000" w:rsidRDefault="007717B9">
      <w:pPr>
        <w:pStyle w:val="Wyrodkowany"/>
        <w:rPr>
          <w:b/>
          <w:color w:val="000000"/>
          <w:sz w:val="24"/>
          <w:szCs w:val="24"/>
        </w:rPr>
      </w:pPr>
    </w:p>
    <w:p w:rsidR="00000000" w:rsidRDefault="007717B9">
      <w:pPr>
        <w:pStyle w:val="Wyrodkowany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Uchwała Nr LXIX/402/10</w:t>
      </w:r>
    </w:p>
    <w:p w:rsidR="00000000" w:rsidRDefault="007717B9">
      <w:pPr>
        <w:pStyle w:val="Wyrodkowany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Rady Miejskiej w Płońsku</w:t>
      </w:r>
    </w:p>
    <w:p w:rsidR="00000000" w:rsidRDefault="007717B9">
      <w:pPr>
        <w:pStyle w:val="Wyrodkowany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z d</w:t>
      </w:r>
      <w:r>
        <w:rPr>
          <w:b/>
          <w:color w:val="000000"/>
          <w:sz w:val="24"/>
          <w:szCs w:val="24"/>
        </w:rPr>
        <w:t>nia 30 marca 2010 roku</w:t>
      </w:r>
    </w:p>
    <w:p w:rsidR="00000000" w:rsidRDefault="007717B9">
      <w:pPr>
        <w:rPr>
          <w:color w:val="000000"/>
        </w:rPr>
      </w:pPr>
    </w:p>
    <w:p w:rsidR="00000000" w:rsidRDefault="007717B9">
      <w:pPr>
        <w:jc w:val="center"/>
        <w:rPr>
          <w:b/>
          <w:color w:val="000000"/>
        </w:rPr>
      </w:pPr>
      <w:r>
        <w:rPr>
          <w:b/>
          <w:color w:val="000000"/>
        </w:rPr>
        <w:t>w sprawie uchwalenia zmiany Miejscowego Planu Ogólnego Zagospodarowania Przestrzennego dla obszaru położonego w Płońsku przy ul. Przemysłowej</w:t>
      </w:r>
    </w:p>
    <w:p w:rsidR="00000000" w:rsidRDefault="007717B9">
      <w:pPr>
        <w:rPr>
          <w:color w:val="000000"/>
        </w:rPr>
      </w:pPr>
    </w:p>
    <w:p w:rsidR="00000000" w:rsidRDefault="007717B9">
      <w:pPr>
        <w:rPr>
          <w:color w:val="000000"/>
        </w:rPr>
      </w:pPr>
      <w:r>
        <w:rPr>
          <w:color w:val="000000"/>
        </w:rPr>
        <w:t xml:space="preserve">Na podstawie art. 18 ust. 2 pkt. 5 ustawy z dnia 8 marca 1990 roku o samorządzie gminnym </w:t>
      </w:r>
      <w:r>
        <w:rPr>
          <w:color w:val="000000"/>
        </w:rPr>
        <w:t>(tekst jednolity: Dz. U. z 2001 roku Nr 142, poz. 1591; z późniejszymi zmianami) oraz art. 20 ust. 1 ustawy z dnia 27 marca 2003 roku o planowaniu i zagospodarowaniu przestrzennym (Dz. U. z 2003 roku Nr 80, poz. 717 z późniejszymi zmianami;) w związku z Uc</w:t>
      </w:r>
      <w:r>
        <w:rPr>
          <w:color w:val="000000"/>
        </w:rPr>
        <w:t>hwałą Nr XXXIII/177/08 Rady Miejskiej w Płońsku z dnia 17 kwietnia 2008 r. w sprawie przystąpienia do sporządzenia zmiany Miejscowego Planu Ogólnego Zagospodarowania Przestrzennego Miasta Płońsk dla obszaru położonego w Płońsku przy ul. Przemysłowej</w:t>
      </w:r>
      <w:r>
        <w:rPr>
          <w:rFonts w:cs="Arial"/>
          <w:color w:val="000000"/>
        </w:rPr>
        <w:t xml:space="preserve"> oraz </w:t>
      </w:r>
      <w:r>
        <w:rPr>
          <w:color w:val="000000"/>
        </w:rPr>
        <w:t>s</w:t>
      </w:r>
      <w:r>
        <w:rPr>
          <w:color w:val="000000"/>
        </w:rPr>
        <w:t xml:space="preserve">twierdzając zgodność planu ze </w:t>
      </w:r>
      <w:r>
        <w:rPr>
          <w:bCs/>
          <w:color w:val="000000"/>
        </w:rPr>
        <w:t xml:space="preserve">„Studium uwarunkowań i kierunków zagospodarowania przestrzennego miasta Płońsk” </w:t>
      </w:r>
      <w:r>
        <w:rPr>
          <w:color w:val="000000"/>
        </w:rPr>
        <w:t>przyjętym uchwałą nr XLVII/32/2002 z dnia 5 września 2002 r.</w:t>
      </w:r>
    </w:p>
    <w:p w:rsidR="00000000" w:rsidRDefault="007717B9">
      <w:pPr>
        <w:rPr>
          <w:color w:val="000000"/>
        </w:rPr>
      </w:pPr>
    </w:p>
    <w:p w:rsidR="00000000" w:rsidRDefault="007717B9">
      <w:pPr>
        <w:rPr>
          <w:color w:val="000000"/>
        </w:rPr>
      </w:pPr>
    </w:p>
    <w:p w:rsidR="00000000" w:rsidRDefault="007717B9">
      <w:pPr>
        <w:pStyle w:val="Normalnybold"/>
        <w:rPr>
          <w:color w:val="000000"/>
        </w:rPr>
      </w:pPr>
      <w:r>
        <w:rPr>
          <w:color w:val="000000"/>
        </w:rPr>
        <w:t>Rada Miejska w Płońsku uchwala, co następuje:</w:t>
      </w:r>
    </w:p>
    <w:p w:rsidR="00000000" w:rsidRDefault="007717B9">
      <w:pPr>
        <w:rPr>
          <w:color w:val="000000"/>
        </w:rPr>
      </w:pP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pStyle w:val="Wyrodkowany"/>
        <w:rPr>
          <w:b/>
          <w:color w:val="000000"/>
        </w:rPr>
      </w:pPr>
      <w:r>
        <w:rPr>
          <w:b/>
          <w:color w:val="000000"/>
        </w:rPr>
        <w:t>Rozdział 1</w:t>
      </w:r>
    </w:p>
    <w:p w:rsidR="00000000" w:rsidRDefault="007717B9">
      <w:pPr>
        <w:jc w:val="center"/>
        <w:rPr>
          <w:color w:val="000000"/>
        </w:rPr>
      </w:pPr>
      <w:r>
        <w:rPr>
          <w:b/>
          <w:color w:val="000000"/>
        </w:rPr>
        <w:t>Przepisy</w:t>
      </w:r>
      <w:r>
        <w:rPr>
          <w:color w:val="000000"/>
        </w:rPr>
        <w:t xml:space="preserve"> </w:t>
      </w:r>
      <w:r>
        <w:rPr>
          <w:b/>
          <w:color w:val="000000"/>
        </w:rPr>
        <w:t>ogólne</w:t>
      </w:r>
      <w:r>
        <w:rPr>
          <w:color w:val="000000"/>
        </w:rPr>
        <w:br/>
      </w:r>
    </w:p>
    <w:p w:rsidR="00000000" w:rsidRDefault="007717B9">
      <w:pPr>
        <w:rPr>
          <w:color w:val="000000"/>
        </w:rPr>
      </w:pPr>
    </w:p>
    <w:p w:rsidR="00000000" w:rsidRDefault="007717B9">
      <w:pPr>
        <w:numPr>
          <w:ilvl w:val="0"/>
          <w:numId w:val="11"/>
        </w:numPr>
        <w:ind w:left="709" w:firstLine="284"/>
        <w:rPr>
          <w:color w:val="000000"/>
        </w:rPr>
      </w:pPr>
      <w:r>
        <w:rPr>
          <w:color w:val="000000"/>
        </w:rPr>
        <w:t xml:space="preserve"> 1. Uc</w:t>
      </w:r>
      <w:r>
        <w:rPr>
          <w:color w:val="000000"/>
        </w:rPr>
        <w:t>hwala się zmianę Miejscowego Planu Ogólnego Zagospodarowania Przestrzennego miasta Płońsk dla obszaru położonego w Płońsku przy ul. Przemysłowej, zwany dalej planem.</w:t>
      </w:r>
    </w:p>
    <w:p w:rsidR="00000000" w:rsidRDefault="007717B9">
      <w:pPr>
        <w:ind w:left="357"/>
        <w:rPr>
          <w:color w:val="000000"/>
        </w:rPr>
      </w:pPr>
    </w:p>
    <w:p w:rsidR="00000000" w:rsidRDefault="007717B9">
      <w:pPr>
        <w:numPr>
          <w:ilvl w:val="1"/>
          <w:numId w:val="13"/>
        </w:numPr>
        <w:ind w:left="709" w:firstLine="284"/>
        <w:rPr>
          <w:color w:val="000000"/>
        </w:rPr>
      </w:pPr>
      <w:r>
        <w:rPr>
          <w:color w:val="000000"/>
        </w:rPr>
        <w:t>Granice obszaru objętego ustaleniami planu, o których mowa w ust.1 pokazano na rysunku pl</w:t>
      </w:r>
      <w:r>
        <w:rPr>
          <w:color w:val="000000"/>
        </w:rPr>
        <w:t>anu sporządzonego w skali 1:1000, stanowiącym integralną część niniejszej uchwały, oznaczoną jako załączniki nr 1.</w:t>
      </w:r>
    </w:p>
    <w:p w:rsidR="00000000" w:rsidRDefault="007717B9">
      <w:pPr>
        <w:ind w:left="357"/>
        <w:rPr>
          <w:color w:val="000000"/>
        </w:rPr>
      </w:pPr>
    </w:p>
    <w:p w:rsidR="00000000" w:rsidRDefault="007717B9">
      <w:pPr>
        <w:numPr>
          <w:ilvl w:val="1"/>
          <w:numId w:val="13"/>
        </w:numPr>
        <w:ind w:firstLine="381"/>
        <w:rPr>
          <w:color w:val="000000"/>
        </w:rPr>
      </w:pPr>
      <w:r>
        <w:rPr>
          <w:color w:val="000000"/>
        </w:rPr>
        <w:t>Załącznikami do niniejszej uchwały są ponadto: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ind w:hanging="198"/>
        <w:rPr>
          <w:color w:val="000000"/>
        </w:rPr>
      </w:pPr>
      <w:r>
        <w:rPr>
          <w:color w:val="000000"/>
        </w:rPr>
        <w:t>rozstrzygnięcie o sposobie rozpatrzenia uwag do projektu planu wniesionych w okresie wyłożen</w:t>
      </w:r>
      <w:r>
        <w:rPr>
          <w:color w:val="000000"/>
        </w:rPr>
        <w:t>ia do publicznego wglądu – stanowiące załącznik nr 2 do uchwały;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2"/>
          <w:numId w:val="13"/>
        </w:numPr>
        <w:ind w:hanging="198"/>
        <w:rPr>
          <w:color w:val="000000"/>
        </w:rPr>
      </w:pPr>
      <w:r>
        <w:rPr>
          <w:color w:val="000000"/>
        </w:rPr>
        <w:t>rozstrzygnięcie o sposobie realizacji, zapisanych w planie inwestycji z zakresu infrastruktury technicznej, które należą do zadań własnych gminy – stanowiące załącznik nr 3 do uchwały;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1"/>
          <w:numId w:val="13"/>
        </w:numPr>
        <w:ind w:firstLine="381"/>
        <w:rPr>
          <w:color w:val="000000"/>
        </w:rPr>
      </w:pPr>
      <w:r>
        <w:rPr>
          <w:color w:val="000000"/>
        </w:rPr>
        <w:t>Prze</w:t>
      </w:r>
      <w:r>
        <w:rPr>
          <w:color w:val="000000"/>
        </w:rPr>
        <w:t>dmiot planu stanowią zagadnienia określone w przepisach art. 15 ust. 2 ustawy o planowaniu i zagospodarowaniu przestrzennym z dnia 27 marca 2003 roku.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0"/>
          <w:numId w:val="13"/>
        </w:numPr>
        <w:ind w:firstLine="633"/>
        <w:rPr>
          <w:color w:val="000000"/>
        </w:rPr>
      </w:pPr>
      <w:r>
        <w:rPr>
          <w:color w:val="000000"/>
        </w:rPr>
        <w:t>Ilekroć w uchwale jest mowa o: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froncie działki</w:t>
      </w:r>
      <w:r>
        <w:rPr>
          <w:color w:val="000000"/>
        </w:rPr>
        <w:t xml:space="preserve"> – należy przez to rozumieć część działki, która przylega</w:t>
      </w:r>
      <w:r>
        <w:rPr>
          <w:color w:val="000000"/>
        </w:rPr>
        <w:t xml:space="preserve"> do drogi, </w:t>
      </w:r>
      <w:r>
        <w:rPr>
          <w:color w:val="000000"/>
        </w:rPr>
        <w:br/>
        <w:t>z której odbywa się główny wjazd lub wejście na działkę;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lastRenderedPageBreak/>
        <w:t>istniejącej zabudowie</w:t>
      </w:r>
      <w:r>
        <w:rPr>
          <w:color w:val="000000"/>
        </w:rPr>
        <w:t xml:space="preserve"> – należy przez to rozumieć istniejące budynki, obiekty, na które zostały wydane decyzje administracyjne (pozwolenia na budowę);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linii rozgraniczającej</w:t>
      </w:r>
      <w:r>
        <w:rPr>
          <w:color w:val="000000"/>
        </w:rPr>
        <w:t xml:space="preserve"> – należy prz</w:t>
      </w:r>
      <w:r>
        <w:rPr>
          <w:color w:val="000000"/>
        </w:rPr>
        <w:t>ez to rozumieć granice pomiędzy terenami o różnym sposobie zagospodarowania lub różnym przeznaczeniu podstawowym i różnej funkcji, ustalone niniejszym planem;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nieprzekraczalnej linii zabudowy</w:t>
      </w:r>
      <w:r>
        <w:rPr>
          <w:color w:val="000000"/>
        </w:rPr>
        <w:t xml:space="preserve"> – należy przez to rozumieć wyznaczone na rysunku planu linie, p</w:t>
      </w:r>
      <w:r>
        <w:rPr>
          <w:color w:val="000000"/>
        </w:rPr>
        <w:t xml:space="preserve">rzed które nie może być wysunięte lico zewnętrznej nadziemnej ściany wznoszonego budynku z dopuszczeniem zgodnego z obowiązującymi przepisami wysunięcia przed nie na głębokość do 1,5 m gzymsów, balkonów, loggii, wykuszy, zadaszeń nad wejściami, pochylni i </w:t>
      </w:r>
      <w:r>
        <w:rPr>
          <w:color w:val="000000"/>
        </w:rPr>
        <w:t>schodów zewnętrznych;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nośniku reklamy</w:t>
      </w:r>
      <w:r>
        <w:rPr>
          <w:color w:val="000000"/>
        </w:rPr>
        <w:t xml:space="preserve"> – należy przez to rozumieć urządzenie reklamowe w jakiejkolwiek materialnej formie wraz z elementami konstrukcyjnymi i zamocowaniami, zawierające powierzchnię przeznaczoną do eksponowania reklamy;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 xml:space="preserve">obszarze </w:t>
      </w:r>
      <w:r>
        <w:rPr>
          <w:color w:val="000000"/>
        </w:rPr>
        <w:t>– należy p</w:t>
      </w:r>
      <w:r>
        <w:rPr>
          <w:color w:val="000000"/>
        </w:rPr>
        <w:t>rzez to rozumieć obszar objęty ustaleniami planu, w granicach przedstawionych na rysunku planu;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planie</w:t>
      </w:r>
      <w:r>
        <w:rPr>
          <w:color w:val="000000"/>
        </w:rPr>
        <w:t xml:space="preserve"> – należy przez to rozumieć ustalenia i rysunek planu, będące przedmiotem niniejszej uchwały, określone w § 1 uchwały;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powierzchni zabudowy</w:t>
      </w:r>
      <w:r>
        <w:rPr>
          <w:color w:val="000000"/>
        </w:rPr>
        <w:t xml:space="preserve"> – należy prz</w:t>
      </w:r>
      <w:r>
        <w:rPr>
          <w:color w:val="000000"/>
        </w:rPr>
        <w:t>ez to rozumieć powierzchnię działki lub terenu zajętą przez rzuty poziome wszystkich budynków w ich obrysie zewnętrznym;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przeznaczeniu podstawowym</w:t>
      </w:r>
      <w:r>
        <w:rPr>
          <w:color w:val="000000"/>
        </w:rPr>
        <w:t xml:space="preserve"> – należy przez to rozumieć takie przeznaczenie, które uznaje się za dominujące na danym terenie; 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przeznacz</w:t>
      </w:r>
      <w:r>
        <w:rPr>
          <w:b/>
          <w:color w:val="000000"/>
        </w:rPr>
        <w:t>eniu uzupełniającym</w:t>
      </w:r>
      <w:r>
        <w:rPr>
          <w:color w:val="000000"/>
        </w:rPr>
        <w:t xml:space="preserve"> – należy przez to rozumieć takie rodzaje przeznaczenia, które uzupełniają lub wzbogacają przeznaczenie podstawowe na danym terenie, w sposób określony w ustaleniach planu;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przepisach odrębnych</w:t>
      </w:r>
      <w:r>
        <w:rPr>
          <w:color w:val="000000"/>
        </w:rPr>
        <w:t xml:space="preserve"> – należy przez to rozumieć przepisy ustaw </w:t>
      </w:r>
      <w:r>
        <w:rPr>
          <w:color w:val="000000"/>
        </w:rPr>
        <w:t>wraz z aktami wykonawczymi;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 xml:space="preserve">rysunku planu </w:t>
      </w:r>
      <w:r>
        <w:rPr>
          <w:color w:val="000000"/>
        </w:rPr>
        <w:t>– należy przez to rozumieć rysunek wykonany na mapie w skali 1:1000, określony w § 1 ust. 2;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 xml:space="preserve">szyldzie reklamowym </w:t>
      </w:r>
      <w:r>
        <w:rPr>
          <w:color w:val="000000"/>
        </w:rPr>
        <w:t>– należy przez to rozumieć nośnik reklamowy podający nazwę firmy znajdującej się w budynku, na któr</w:t>
      </w:r>
      <w:r>
        <w:rPr>
          <w:color w:val="000000"/>
        </w:rPr>
        <w:t>ym szyld reklamowy jest zainstalowany;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terenie</w:t>
      </w:r>
      <w:r>
        <w:rPr>
          <w:color w:val="000000"/>
        </w:rPr>
        <w:t xml:space="preserve"> – należy przez to rozumieć teren ograniczony na rysunku planu liniami rozgraniczającymi i symbolem przeznaczenia oznaczony według zasad określonych w § 3 ust. 3 uchwały;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uchwale</w:t>
      </w:r>
      <w:r>
        <w:rPr>
          <w:color w:val="000000"/>
        </w:rPr>
        <w:t xml:space="preserve"> – należy przez to rozumieć ni</w:t>
      </w:r>
      <w:r>
        <w:rPr>
          <w:color w:val="000000"/>
        </w:rPr>
        <w:t>niejszą uchwałę, o ile z treści przepisu nie wynika inaczej;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usługach</w:t>
      </w:r>
      <w:r>
        <w:rPr>
          <w:color w:val="000000"/>
        </w:rPr>
        <w:t xml:space="preserve"> – należy przez to rozumieć działalność prowadzoną w obiektach wolnostojących lub lokalach użytkowych wbudowanych, której celem jest zaspokojenie potrzeb ludności, a nie wytwarzanie bezp</w:t>
      </w:r>
      <w:r>
        <w:rPr>
          <w:color w:val="000000"/>
        </w:rPr>
        <w:t>ośrednio metodami przemysłowymi dóbr materialnych, z wykluczeniem usług uciążliwych;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lastRenderedPageBreak/>
        <w:t>usługach uciążliwych</w:t>
      </w:r>
      <w:r>
        <w:rPr>
          <w:color w:val="000000"/>
        </w:rPr>
        <w:t xml:space="preserve"> – należy przez to rozumieć wszelką działalność lub obiekty, które mogą powodować zanieczyszczenia środowiska, w tym usługi i obiekty zaliczane do prz</w:t>
      </w:r>
      <w:r>
        <w:rPr>
          <w:color w:val="000000"/>
        </w:rPr>
        <w:t>edsięwzięć mogących znacząco oddziaływać na środowisko, dla których obowiązek sporządzenia raportu o oddziaływaniu na środowisko jest obligatoryjny;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rFonts w:cs="Arial"/>
          <w:color w:val="000000"/>
        </w:rPr>
      </w:pPr>
      <w:r>
        <w:rPr>
          <w:rFonts w:cs="Arial"/>
          <w:b/>
          <w:color w:val="000000"/>
        </w:rPr>
        <w:t>wskaźniku intensywności zabudowy</w:t>
      </w:r>
      <w:r>
        <w:rPr>
          <w:rFonts w:cs="Arial"/>
          <w:color w:val="000000"/>
        </w:rPr>
        <w:t xml:space="preserve"> – należy przez to rozumieć iloraz sumy powierzchni całkowitej wszystkich </w:t>
      </w:r>
      <w:r>
        <w:rPr>
          <w:rFonts w:cs="Arial"/>
          <w:color w:val="000000"/>
        </w:rPr>
        <w:t>kondygnacji nadziemnych, mierzonych w obrysie zewnętrznym, wszystkich obiektów zlokalizowanych na każdej działce położonej w danym terenie i powierzchni tej działki;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3"/>
        </w:numPr>
        <w:rPr>
          <w:color w:val="000000"/>
        </w:rPr>
      </w:pPr>
      <w:r>
        <w:rPr>
          <w:b/>
          <w:color w:val="000000"/>
        </w:rPr>
        <w:t>wysokości zabudowy</w:t>
      </w:r>
      <w:r>
        <w:rPr>
          <w:color w:val="000000"/>
        </w:rPr>
        <w:t xml:space="preserve"> – należy przez to rozumieć wymiar pionowy zabudowy mierzonej od poziom</w:t>
      </w:r>
      <w:r>
        <w:rPr>
          <w:color w:val="000000"/>
        </w:rPr>
        <w:t>u terenu rodzimego do najwyżej położonej górnej powierzchni przekrycia;</w:t>
      </w:r>
    </w:p>
    <w:p w:rsidR="00000000" w:rsidRDefault="007717B9">
      <w:pPr>
        <w:rPr>
          <w:color w:val="000000"/>
        </w:rPr>
      </w:pPr>
    </w:p>
    <w:p w:rsidR="00000000" w:rsidRDefault="007717B9">
      <w:pPr>
        <w:numPr>
          <w:ilvl w:val="0"/>
          <w:numId w:val="12"/>
        </w:numPr>
        <w:ind w:left="993" w:firstLine="0"/>
        <w:rPr>
          <w:color w:val="000000"/>
        </w:rPr>
      </w:pPr>
      <w:r>
        <w:rPr>
          <w:color w:val="000000"/>
        </w:rPr>
        <w:t>1. Następujące oznaczenia graficzne na rysunku planu są obowiązującymi ustaleniami planu:</w:t>
      </w:r>
    </w:p>
    <w:p w:rsidR="00000000" w:rsidRDefault="007717B9">
      <w:pPr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granica obszaru objętego planem,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linie rozgraniczające tereny o różnym przeznaczeniu lub ró</w:t>
      </w:r>
      <w:r>
        <w:rPr>
          <w:color w:val="000000"/>
        </w:rPr>
        <w:t>żnych zasadach zagospodarowania,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nieprzekraczalna linia zabudowy,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oznaczenia porządkowe – cyfrowe i literowe terenów,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1"/>
          <w:numId w:val="12"/>
        </w:numPr>
        <w:ind w:firstLine="381"/>
        <w:rPr>
          <w:color w:val="000000"/>
        </w:rPr>
      </w:pPr>
      <w:r>
        <w:rPr>
          <w:color w:val="000000"/>
        </w:rPr>
        <w:t>Oznaczenia graficzne na rysunku planu nie wymienione w ust. 1 mają wyłącznie charakter informacyjny.</w:t>
      </w:r>
      <w:bookmarkStart w:id="0" w:name="_Toc42328161"/>
    </w:p>
    <w:p w:rsidR="00000000" w:rsidRDefault="007717B9">
      <w:pPr>
        <w:ind w:left="357"/>
        <w:rPr>
          <w:color w:val="000000"/>
        </w:rPr>
      </w:pPr>
    </w:p>
    <w:p w:rsidR="00000000" w:rsidRDefault="007717B9">
      <w:pPr>
        <w:numPr>
          <w:ilvl w:val="1"/>
          <w:numId w:val="12"/>
        </w:numPr>
        <w:ind w:firstLine="381"/>
        <w:rPr>
          <w:color w:val="000000"/>
        </w:rPr>
      </w:pPr>
      <w:r>
        <w:rPr>
          <w:color w:val="000000"/>
        </w:rPr>
        <w:t>Dla każdego terenu ustala się prz</w:t>
      </w:r>
      <w:r>
        <w:rPr>
          <w:color w:val="000000"/>
        </w:rPr>
        <w:t>eznaczenie zapisane w jednej z następujących postaci: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X – jedno przeznaczenie podstawowe;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 xml:space="preserve"> cyfry arabskie określają numery wyznaczonych terenów na rysunku planu, dla których sformułowano odrębne ustalenia planu.</w:t>
      </w:r>
    </w:p>
    <w:p w:rsidR="00000000" w:rsidRDefault="007717B9">
      <w:pPr>
        <w:ind w:left="0"/>
        <w:rPr>
          <w:color w:val="000000"/>
        </w:rPr>
      </w:pPr>
    </w:p>
    <w:bookmarkEnd w:id="0"/>
    <w:p w:rsidR="00000000" w:rsidRDefault="007717B9">
      <w:pPr>
        <w:numPr>
          <w:ilvl w:val="0"/>
          <w:numId w:val="12"/>
        </w:numPr>
        <w:ind w:left="993" w:firstLine="0"/>
        <w:rPr>
          <w:color w:val="000000"/>
        </w:rPr>
      </w:pPr>
      <w:r>
        <w:rPr>
          <w:color w:val="000000"/>
        </w:rPr>
        <w:t>Ustala się następujące symbole określając</w:t>
      </w:r>
      <w:r>
        <w:rPr>
          <w:color w:val="000000"/>
        </w:rPr>
        <w:t>e w planie podstawowe formy przeznaczenia i zagospodarowania terenów: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P – tereny zabudowy produkcyjnej;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0"/>
          <w:numId w:val="12"/>
        </w:numPr>
        <w:ind w:left="993" w:firstLine="0"/>
        <w:rPr>
          <w:color w:val="000000"/>
        </w:rPr>
      </w:pPr>
      <w:r>
        <w:rPr>
          <w:color w:val="000000"/>
        </w:rPr>
        <w:t xml:space="preserve"> Ustala się następujące zasady ochrony i kształtowania ładu przestrzennego: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parametry i wskaźniki kształtowania zabudowy i zagospodarowania terenu, z</w:t>
      </w:r>
      <w:r>
        <w:rPr>
          <w:color w:val="000000"/>
        </w:rPr>
        <w:t xml:space="preserve">awarte </w:t>
      </w:r>
      <w:r>
        <w:rPr>
          <w:color w:val="000000"/>
        </w:rPr>
        <w:br/>
        <w:t>w ustaleniach szczegółowych terenów;</w:t>
      </w:r>
    </w:p>
    <w:p w:rsidR="00000000" w:rsidRDefault="007717B9">
      <w:pPr>
        <w:pStyle w:val="tytu1"/>
        <w:jc w:val="both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rFonts w:eastAsia="Lucida Sans Unicode" w:cs="Lucida Sans Unicode"/>
          <w:color w:val="000000"/>
          <w:szCs w:val="20"/>
        </w:rPr>
        <w:t>zakaz stosowania do wykończenia elewacji budynków okładzin z tworzyw sztucznych typu siding;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zakaz stosowania kontrastów kolorystycznych elewacji, dachów i detali architektonicznych w barwach: niebieski-żółty,</w:t>
      </w:r>
      <w:r>
        <w:rPr>
          <w:color w:val="000000"/>
        </w:rPr>
        <w:t xml:space="preserve"> czerwony-niebieski, czerwony-zielony, zielony-niebieski, żółty-zielony;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przebieg nieprzekraczalnych linii zabudowy zgodnie z rysunkiem planu;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zakaz umieszczania wolnostojących nośników reklamowych;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zakaz lokalizacji nośników reklamowych i szyldów rekla</w:t>
      </w:r>
      <w:r>
        <w:rPr>
          <w:color w:val="000000"/>
        </w:rPr>
        <w:t>mowych na ogrodzeniach od strony dróg i przestrzeni publicznych;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 xml:space="preserve">dopuszcza się lokalizowanie nośników reklamowych na budynkach pod warunkiem, </w:t>
      </w:r>
      <w:r>
        <w:rPr>
          <w:color w:val="000000"/>
        </w:rPr>
        <w:br/>
        <w:t>że ich łączna powierzchnia nie zajmie więcej niż 10 % powierzchni łącznej wszystkich elewacji danego budynku;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d</w:t>
      </w:r>
      <w:r>
        <w:rPr>
          <w:color w:val="000000"/>
        </w:rPr>
        <w:t>opuszcza się lokalizowanie szyldów reklamowych na budynkach pod warunkiem, że maksymalna powierzchnia jednego szyldu reklamowego wyniesie – 0,12 m² oraz ich łączna powierzchnia na danym budynku nie zajmie więcej niż 1 % powierzchni elewacji budynku, na któ</w:t>
      </w:r>
      <w:r>
        <w:rPr>
          <w:color w:val="000000"/>
        </w:rPr>
        <w:t>rym są zlokalizowane;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pozostałe ustalenia dotyczące kształtowania ładu przestrzennego zostały zawarte w ustaleniach szczegółowych dla poszczególnych terenów oraz w §8 dotyczącym zasad ochrony krajobrazu i dziedzictwa kulturowego;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0"/>
          <w:numId w:val="12"/>
        </w:numPr>
        <w:ind w:left="993" w:firstLine="0"/>
        <w:rPr>
          <w:color w:val="000000"/>
        </w:rPr>
      </w:pPr>
      <w:r>
        <w:rPr>
          <w:color w:val="000000"/>
        </w:rPr>
        <w:t>Ustala się zasady kształ</w:t>
      </w:r>
      <w:r>
        <w:rPr>
          <w:color w:val="000000"/>
        </w:rPr>
        <w:t>towania zabudowy i sposobów zagospodarowania terenu: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dopuszcza się lokalizację budynków na działkach budowlanych bezpośrednio przy granicy;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odległość zabudowy od linii rozgraniczającej dróg wewnętrznych, nieoznaczonych na rysunku planu min. 5,0 m;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</w:t>
      </w:r>
      <w:r>
        <w:rPr>
          <w:color w:val="000000"/>
        </w:rPr>
        <w:t>resie sposobu i terminu tymczasowego zagospodarowania, urządzenia i użytkowania terenu ustala się, że do czasu zagospodarowania terenów zgodnie z niniejszym planem, obowiązuje ich wykorzystanie w sposób dotychczasowy;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pozostałe ustalenia dotyczące zasad k</w:t>
      </w:r>
      <w:r>
        <w:rPr>
          <w:color w:val="000000"/>
        </w:rPr>
        <w:t>ształtowania zabudowy i sposobów zagospodarowania terenu zawarte zostały w ustaleniach szczegółowych dla poszczególnych terenów;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0"/>
          <w:numId w:val="12"/>
        </w:numPr>
        <w:ind w:left="851" w:firstLine="0"/>
        <w:rPr>
          <w:color w:val="000000"/>
        </w:rPr>
      </w:pPr>
      <w:r>
        <w:rPr>
          <w:color w:val="000000"/>
        </w:rPr>
        <w:t>Ustala się zasady i warunki podziału nieruchomości:</w:t>
      </w:r>
    </w:p>
    <w:p w:rsidR="00000000" w:rsidRDefault="007717B9">
      <w:pPr>
        <w:pStyle w:val="Akapitzlist"/>
        <w:numPr>
          <w:ilvl w:val="0"/>
          <w:numId w:val="0"/>
        </w:numPr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przypadku istniejących nierównoległych i nieprostopadłych podziałów dzi</w:t>
      </w:r>
      <w:r>
        <w:rPr>
          <w:color w:val="000000"/>
        </w:rPr>
        <w:t>ałek do układu drogowego możliwość zachowania dotychczasowego kąta dla nowo tworzonych działek;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nowe działki budowlane na terenach podlegających podziałowi powinny mieć powierzchnię i kształt umożliwiający ich prawidłowe zagospodarowanie, zapewnioną dostę</w:t>
      </w:r>
      <w:r>
        <w:rPr>
          <w:color w:val="000000"/>
        </w:rPr>
        <w:t>pność komunikacyjną do każdej działki zgodnie z przepisami odrębnymi;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parametry działek budowlanych określone w niniejszej uchwale nie dotyczą urządzeń infrastruktury technicznej oraz powstających w wyniku regulacji stanu prawnego, której celem nie jest w</w:t>
      </w:r>
      <w:r>
        <w:rPr>
          <w:color w:val="000000"/>
        </w:rPr>
        <w:t>ydzielenie działek budowlanych, lecz poprawa warunków istniejącego zagospodarowania;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pozostałe ustalenia dotyczące zasad i warunków łączenia i podziału nieruchomości zawarte zostały w ustaleniach szczegółowych dla poszczególnych terenów.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ind w:left="360"/>
        <w:rPr>
          <w:color w:val="000000"/>
        </w:rPr>
      </w:pPr>
    </w:p>
    <w:p w:rsidR="00000000" w:rsidRDefault="007717B9">
      <w:pPr>
        <w:numPr>
          <w:ilvl w:val="0"/>
          <w:numId w:val="12"/>
        </w:numPr>
        <w:ind w:left="993" w:hanging="142"/>
        <w:rPr>
          <w:color w:val="000000"/>
        </w:rPr>
      </w:pPr>
      <w:r>
        <w:rPr>
          <w:color w:val="000000"/>
        </w:rPr>
        <w:lastRenderedPageBreak/>
        <w:t>Ustala się za</w:t>
      </w:r>
      <w:r>
        <w:rPr>
          <w:color w:val="000000"/>
        </w:rPr>
        <w:t>sady ochrony środowiska, przyrody i krajobrazu kulturowego: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Na obszarze objętym planem ustala się następujące zasady ochrony środowiska oraz ochrony przyrody: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dla działek budowlanych minimalną powierzchnię biologicznie czynną, zgodnie z ustaleniami szcze</w:t>
      </w:r>
      <w:r>
        <w:rPr>
          <w:color w:val="000000"/>
        </w:rPr>
        <w:t>gółowymi dla poszczególnych terenów;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jc w:val="left"/>
        <w:rPr>
          <w:color w:val="000000"/>
        </w:rPr>
      </w:pPr>
      <w:r>
        <w:rPr>
          <w:color w:val="000000"/>
        </w:rPr>
        <w:t>utrzymanie wszystkich form zieleni urządzonej i naturalnej, w ramach możliwości, ze szczególnym uwzględnieniem terenów zieleni naturalnej i parkowej;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zakaz składowania odpadów, czasowe gromadzenie odpadów wytwarzanych</w:t>
      </w:r>
      <w:r>
        <w:rPr>
          <w:color w:val="000000"/>
        </w:rPr>
        <w:t xml:space="preserve"> na obszarze planu zgodnie z przepisami odrębnymi;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zakaz lokalizacji przedsięwzięć mogących znacząco oddziaływać na środowisko, dla których sporządzenie raportu oddziaływania na środowisko jest obligatoryjne lub mogących wymagać sporządzenia takiego rapor</w:t>
      </w:r>
      <w:r>
        <w:rPr>
          <w:color w:val="000000"/>
        </w:rPr>
        <w:t>tu w rozumieniu przepisów odrębnych, z wyjątkiem obiektów infrastruktury technicznej i komunikacyjnej;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0"/>
          <w:numId w:val="12"/>
        </w:numPr>
        <w:ind w:left="567" w:firstLine="333"/>
        <w:rPr>
          <w:color w:val="000000"/>
        </w:rPr>
      </w:pPr>
      <w:r>
        <w:rPr>
          <w:color w:val="000000"/>
        </w:rPr>
        <w:t>Ustala się zasady modernizacji, rozbudowy i budowy systemów infrastruktury technicznej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zakresie lokalizacji urządzeń sieciowych infrastruktury techni</w:t>
      </w:r>
      <w:r>
        <w:rPr>
          <w:color w:val="000000"/>
        </w:rPr>
        <w:t>cznej: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plan dopuszcza budowę i modernizację sieci i urządzeń infrastruktury technicznej w uzgodnieniu z właścicielem sieci w oparciu o przepisy odrębne i oznaczonych symbolem graficznym: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ind w:left="1837"/>
        <w:rPr>
          <w:color w:val="000000"/>
        </w:rPr>
      </w:pPr>
      <w:r>
        <w:rPr>
          <w:color w:val="000000"/>
        </w:rPr>
        <w:t>- deszczowe kolektory kanalizacyjne – kd;</w:t>
      </w:r>
    </w:p>
    <w:p w:rsidR="00000000" w:rsidRDefault="007717B9">
      <w:pPr>
        <w:ind w:left="1837"/>
        <w:rPr>
          <w:color w:val="000000"/>
        </w:rPr>
      </w:pPr>
      <w:r>
        <w:rPr>
          <w:color w:val="000000"/>
        </w:rPr>
        <w:t>- napowietrzne linie elek</w:t>
      </w:r>
      <w:r>
        <w:rPr>
          <w:color w:val="000000"/>
        </w:rPr>
        <w:t>troenergetyczne wysokiego i średniego napięcia;</w:t>
      </w:r>
    </w:p>
    <w:p w:rsidR="00000000" w:rsidRDefault="007717B9">
      <w:pPr>
        <w:ind w:left="144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Ustala się zasady uzbrojenia terenu w sieci infrastruktury technicznej: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sieci infrastruktury technicznej oraz urządzenia z nimi związane należy lokalizować w sposób podporządkowany określonej w planie funkc</w:t>
      </w:r>
      <w:r>
        <w:rPr>
          <w:color w:val="000000"/>
        </w:rPr>
        <w:t>ji terenu i nie kolidujący z planowaną zabudową,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położenie i parametry techniczne sieci podlegają uszczegółowieniu w projektach budowlanych,</w:t>
      </w:r>
    </w:p>
    <w:p w:rsidR="00000000" w:rsidRDefault="007717B9">
      <w:pPr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infrastruktura techniczna powinna być sytuowana z zachowaniem odległości pomiędzy poszczególnymi sieciami, z możl</w:t>
      </w:r>
      <w:r>
        <w:rPr>
          <w:color w:val="000000"/>
        </w:rPr>
        <w:t>iwością uszczegółowienia w projektach budowlanych,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w pasach drogowych planowanych dróg wewnętrznych nieokreślonych na rysunku planu sieci infrastruktury technicznej lokalizować zgodnie z przepisami odrębnymi,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 xml:space="preserve">rozdzielcze sieci infrastruktury technicznej </w:t>
      </w:r>
      <w:r>
        <w:rPr>
          <w:color w:val="000000"/>
        </w:rPr>
        <w:t>użytku powszechnego należy projektować i budować uwzględniając potrzeby określonej w planie zabudowy oraz potrzeby zabudowy na terenach przyległych nie objętych planem, a wskazanych w studium jako tereny inwestycyjne (potencjalni użytkownicy sieci),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przył</w:t>
      </w:r>
      <w:r>
        <w:rPr>
          <w:color w:val="000000"/>
        </w:rPr>
        <w:t xml:space="preserve">ącza nieruchomości do ciągów ulicznych sieci infrastruktury technicznej powinny, w granicach pasa drogowego wyznaczonego liniami rozgraniczającymi, przebiegać prostopadle do osi podłużnej ulicy; w technicznie uzasadnionych wypadkach dopuszcza </w:t>
      </w:r>
      <w:r>
        <w:rPr>
          <w:color w:val="000000"/>
        </w:rPr>
        <w:lastRenderedPageBreak/>
        <w:t xml:space="preserve">się przebieg </w:t>
      </w:r>
      <w:r>
        <w:rPr>
          <w:color w:val="000000"/>
        </w:rPr>
        <w:t>skośny pod kątem nie mniejszym niż 45</w:t>
      </w:r>
      <w:r>
        <w:rPr>
          <w:color w:val="000000"/>
          <w:vertAlign w:val="superscript"/>
        </w:rPr>
        <w:t>O</w:t>
      </w:r>
      <w:r>
        <w:rPr>
          <w:color w:val="000000"/>
        </w:rPr>
        <w:t>, do osi podłużnej ulicy, o ile nie utrudni to przyłączenia do sieci ulicznej nieruchomości sąsiednich,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 xml:space="preserve">w przypadku konieczności przeprowadzenia tranzytowych sieci infrastruktury technicznej nie pokazanych na rysunku </w:t>
      </w:r>
      <w:r>
        <w:rPr>
          <w:color w:val="000000"/>
        </w:rPr>
        <w:t>planu wykonanie ich nie będzie sprzeczne z ustaleniami planu pod warunkiem, że ich przebieg nie będzie kolidował z istniejącą i planowana zabudową,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stacje transformatorowe mogą być lokalizowane w granicach planu pod warunkiem nie naruszenia wynikających z</w:t>
      </w:r>
      <w:r>
        <w:rPr>
          <w:color w:val="000000"/>
        </w:rPr>
        <w:t xml:space="preserve"> niniejszego planu przepisów odrębnych oraz warunków zabudowy i zagospodarowania terenów sąsiednich – uszczegółowienie w projekcie budowlanym,</w:t>
      </w:r>
    </w:p>
    <w:p w:rsidR="00000000" w:rsidRDefault="007717B9">
      <w:pPr>
        <w:ind w:left="1191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zakresie zaopatrzenia w wodę, ustala się: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zasilanie w wodę z wodociągu z sieci rozdzielczej zlokalizowanej wz</w:t>
      </w:r>
      <w:r>
        <w:rPr>
          <w:color w:val="000000"/>
        </w:rPr>
        <w:t xml:space="preserve">dłuż istniejących dróg; </w:t>
      </w:r>
    </w:p>
    <w:p w:rsidR="00000000" w:rsidRDefault="007717B9">
      <w:pPr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jako podstawę do podejmowania decyzji inwestycyjnych w zakresie rozbudowy systemu wodociągowego należy przyjąć obowiązujące programy;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przy realizacji nowych ujęć i sieci wodociągowych, w obszarze planu, obowiązuje zapewnienie prz</w:t>
      </w:r>
      <w:r>
        <w:rPr>
          <w:color w:val="000000"/>
        </w:rPr>
        <w:t>eciwpożarowego zaopatrzenia wodnego w zakresie źródeł zaopatrzenia i sieci hydrantów nadziemnych;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nakaz podłączania nowych odbiorców do sieci wodociągowej po jej wybudowaniu;</w:t>
      </w:r>
    </w:p>
    <w:p w:rsidR="00000000" w:rsidRDefault="007717B9">
      <w:pPr>
        <w:ind w:left="1191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zakresie odprowadzania ścieków sanitarnych oraz wód opadowych, ustala się: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o</w:t>
      </w:r>
      <w:r>
        <w:rPr>
          <w:color w:val="000000"/>
        </w:rPr>
        <w:t>dprowadzenie ścieków sanitarnych do układu kanalizacyjnego;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możliwość utrzymania rozwiązań indywidualnych do czasu objęcia poszczególnych terenów siecią kanalizacyjną;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jako podstawę do podejmowania decyzji inwestycyjnych w zakresie rozbudowy układu kanal</w:t>
      </w:r>
      <w:r>
        <w:rPr>
          <w:color w:val="000000"/>
        </w:rPr>
        <w:t>izacji ściekowej należy przyjąć obowiązujące programy;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nakaz podłączania nowych odbiorców do sieci kanalizacyjnej po jej wybudowaniu;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zakaz odprowadzania wód opadowych zanieczyszczonych produktami organicznymi, ropopochodnymi i mineralnymi do ciągów kana</w:t>
      </w:r>
      <w:r>
        <w:rPr>
          <w:color w:val="000000"/>
        </w:rPr>
        <w:t>lizacji deszczowej, do wód otwartych i do gruntu bez uprzedniego podczyszczenia;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nakaz odprowadzania nadmiaru wód deszczowych, przekraczających swoją ilością chłonność gruntu, do sieci kanalizacji deszczowej.</w:t>
      </w:r>
    </w:p>
    <w:p w:rsidR="00000000" w:rsidRDefault="007717B9">
      <w:pPr>
        <w:ind w:left="1191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zakresie zaopatrzenia w gaz, ustala się: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z</w:t>
      </w:r>
      <w:r>
        <w:rPr>
          <w:color w:val="000000"/>
        </w:rPr>
        <w:t>asilanie w gaz ziemny przewodowy za pośrednictwem istniejącej sieci;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budowę nowych gazociągów zgodnie z wymogami przepisów odrębnych w uzgodnieniu z właściwym zakładem gazowniczym;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lastRenderedPageBreak/>
        <w:t>jako podstawę do podejmowania decyzji inwestycyjnych w zakresie rozbudowy</w:t>
      </w:r>
      <w:r>
        <w:rPr>
          <w:color w:val="000000"/>
        </w:rPr>
        <w:t xml:space="preserve"> sieci gazowej należy przyjąć obowiązujące programy;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szafki gazowe (otwierane na zewnątrz od strony ulicy) winny być lokalizowane w linii ogrodzeń, w pozostałych przypadkach w miejscu uzgodnionym z zarządzającym siecią gazową;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zakresie zaopatrzenia w e</w:t>
      </w:r>
      <w:r>
        <w:rPr>
          <w:color w:val="000000"/>
        </w:rPr>
        <w:t>nergię elektryczną, ustala się: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utrzymanie istniejącej sieci elektroenergetycznej;</w:t>
      </w:r>
    </w:p>
    <w:p w:rsidR="00000000" w:rsidRDefault="007717B9">
      <w:pPr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 xml:space="preserve">utrzymanie podstawowego źródła zasilania w energię elektryczną; 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 xml:space="preserve">zasilanie odbiorców w energię elektryczną za pośrednictwem istniejących </w:t>
      </w:r>
      <w:r>
        <w:rPr>
          <w:color w:val="000000"/>
        </w:rPr>
        <w:br/>
        <w:t>i nowoprojektowanych stacji tran</w:t>
      </w:r>
      <w:r>
        <w:rPr>
          <w:color w:val="000000"/>
        </w:rPr>
        <w:t>sformatorowych;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możliwość przebudowy istniejących sieci elektroenergetycznych na warunkach określonych przez właściwy zakład energetyczny;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 xml:space="preserve">budowę nowych słupowych stacji transformatorowych w liniach rozgraniczających dróg </w:t>
      </w:r>
      <w:r>
        <w:rPr>
          <w:color w:val="000000"/>
        </w:rPr>
        <w:br/>
        <w:t>w lokalizacji i ilości, które o</w:t>
      </w:r>
      <w:r>
        <w:rPr>
          <w:color w:val="000000"/>
        </w:rPr>
        <w:t>kreśli wymagane opracowanie branżowe;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dla stacji transformatorowych i linii elektroenergetycznych zakłada się wymóg zapewnienia niezbędnego dostępu dla ich budowy i eksploatacji;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 xml:space="preserve">utrzymanie korytarza wolnego od </w:t>
      </w:r>
      <w:r>
        <w:rPr>
          <w:rFonts w:ascii="Tahoma" w:hAnsi="Tahoma"/>
          <w:color w:val="000000"/>
        </w:rPr>
        <w:t xml:space="preserve">budynków o charakterze chronionym </w:t>
      </w:r>
      <w:r>
        <w:rPr>
          <w:color w:val="000000"/>
        </w:rPr>
        <w:t>określony</w:t>
      </w:r>
      <w:r>
        <w:rPr>
          <w:color w:val="000000"/>
        </w:rPr>
        <w:t>ch w przepisach odrębnych o szerokości po 7,5 m od osi linii napowietrznej 15 kV, jako strefa oddziaływania pól elektromagnetycznych; nie dotyczy kablowych linii elektroenergetycznych;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zakresie zaopatrzenia w ciepło, ustala się: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 xml:space="preserve">możliwość zaopatrzenia </w:t>
      </w:r>
      <w:r>
        <w:rPr>
          <w:color w:val="000000"/>
        </w:rPr>
        <w:t xml:space="preserve">z lokalnych źródeł ciepła zgodnie z przepisami odrębnymi przy wykorzystaniu urządzeń </w:t>
      </w:r>
      <w:r>
        <w:rPr>
          <w:rFonts w:cs="Arial"/>
          <w:color w:val="000000"/>
        </w:rPr>
        <w:t>o wysokim poziomie czystości emisji;</w:t>
      </w:r>
    </w:p>
    <w:p w:rsidR="00000000" w:rsidRDefault="007717B9">
      <w:pPr>
        <w:ind w:left="1191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możliwość zaopatrzenia w ciepło z miejskiej sieci ciepłowniczej;</w:t>
      </w:r>
    </w:p>
    <w:p w:rsidR="00000000" w:rsidRDefault="007717B9">
      <w:pPr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zakresie telekomunikacji, ustala się: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obsługę przez dotychczas f</w:t>
      </w:r>
      <w:r>
        <w:rPr>
          <w:color w:val="000000"/>
        </w:rPr>
        <w:t>unkcjonujące automatyczne centrale telefoniczne oraz przez magistralę światłowodową;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budowę sieci telekomunikacyjnej należy realizować w oparciu o warunki techniczne wydane przez dysponenta sieci;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zakaz lokalizacji masztów telefonii komórkowej.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zakres</w:t>
      </w:r>
      <w:r>
        <w:rPr>
          <w:color w:val="000000"/>
        </w:rPr>
        <w:t>ie gospodarki odpadami, ustala się;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obsługę zgodnie z gospodarką określoną w Planie Gospodarki Odpadami i z przepisami odrębnymi.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rFonts w:ascii="Tahoma" w:hAnsi="Tahoma"/>
          <w:color w:val="000000"/>
        </w:rPr>
        <w:t>w przypadku powstawania, zwłaszcza w zakładach przemysłowych, odpadów z grupy niebezpiecznych, które ze względu na pochodzen</w:t>
      </w:r>
      <w:r>
        <w:rPr>
          <w:rFonts w:ascii="Tahoma" w:hAnsi="Tahoma"/>
          <w:color w:val="000000"/>
        </w:rPr>
        <w:t xml:space="preserve">ie, skład chemiczny, biologiczny bądź </w:t>
      </w:r>
      <w:r>
        <w:rPr>
          <w:rFonts w:ascii="Tahoma" w:hAnsi="Tahoma"/>
          <w:color w:val="000000"/>
        </w:rPr>
        <w:lastRenderedPageBreak/>
        <w:t>inne właściwości mogą stanowić zagrożenie dla ludzi bądź środowiska, obowiązuje czasowe ich przechowywanie w szczelnych pojemnikach na terenie własnej nieruchomości, po czym transportowanie do zakładów przetwórczych, a</w:t>
      </w:r>
      <w:r>
        <w:rPr>
          <w:rFonts w:ascii="Tahoma" w:hAnsi="Tahoma"/>
          <w:color w:val="000000"/>
        </w:rPr>
        <w:t xml:space="preserve"> części nie nadające się do wykorzystania – na miejsca składowania, specjalnie dla tych odpadów wyznaczone.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0"/>
          <w:numId w:val="12"/>
        </w:numPr>
        <w:ind w:left="1800" w:hanging="1080"/>
        <w:rPr>
          <w:color w:val="000000"/>
        </w:rPr>
      </w:pPr>
      <w:r>
        <w:rPr>
          <w:color w:val="000000"/>
        </w:rPr>
        <w:t>Ustala się zasady modernizacji, rozbudowy i budowy systemów komunikacji: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Przy wyznaczaniu dróg wewnętrznych, nieoznaczonych na rysunku planu, obow</w:t>
      </w:r>
      <w:r>
        <w:rPr>
          <w:color w:val="000000"/>
        </w:rPr>
        <w:t>iązuje minimalna szerokość 8 m;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zakresie wyznaczania miejsc parkingowych lub postojowych na danej nieruchomości ustala się następujące wielkości: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zabudowa produkcyjna – minimum 3 stanowiska na 10 zatrudnionych;</w:t>
      </w:r>
    </w:p>
    <w:p w:rsidR="00000000" w:rsidRDefault="007717B9">
      <w:pPr>
        <w:ind w:left="1191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dla wyżej wymienionej funkcji obowiązuje</w:t>
      </w:r>
      <w:r>
        <w:rPr>
          <w:color w:val="000000"/>
        </w:rPr>
        <w:t xml:space="preserve"> zapewnienie dodatkowego miejsca postojowego dla osoby niepełnosprawnej.</w:t>
      </w:r>
    </w:p>
    <w:p w:rsidR="00000000" w:rsidRDefault="007717B9">
      <w:pPr>
        <w:pStyle w:val="Wyrodkowany"/>
        <w:ind w:left="0"/>
        <w:jc w:val="both"/>
        <w:rPr>
          <w:color w:val="000000"/>
        </w:rPr>
      </w:pPr>
    </w:p>
    <w:p w:rsidR="00000000" w:rsidRDefault="007717B9">
      <w:pPr>
        <w:pStyle w:val="Wyrodkowany"/>
        <w:rPr>
          <w:b/>
          <w:color w:val="000000"/>
          <w:sz w:val="24"/>
          <w:szCs w:val="24"/>
        </w:rPr>
      </w:pPr>
    </w:p>
    <w:p w:rsidR="00000000" w:rsidRDefault="007717B9">
      <w:pPr>
        <w:pStyle w:val="Wyrodkowany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Rozdział 2</w:t>
      </w:r>
      <w:r>
        <w:rPr>
          <w:b/>
          <w:color w:val="000000"/>
          <w:sz w:val="24"/>
          <w:szCs w:val="24"/>
        </w:rPr>
        <w:br/>
        <w:t>Przepisy szczegółowe</w:t>
      </w:r>
    </w:p>
    <w:p w:rsidR="00000000" w:rsidRDefault="007717B9">
      <w:pPr>
        <w:pStyle w:val="Wyrodkowany"/>
        <w:rPr>
          <w:b/>
          <w:color w:val="000000"/>
          <w:sz w:val="24"/>
          <w:szCs w:val="24"/>
        </w:rPr>
      </w:pPr>
    </w:p>
    <w:p w:rsidR="00000000" w:rsidRDefault="007717B9">
      <w:pPr>
        <w:numPr>
          <w:ilvl w:val="0"/>
          <w:numId w:val="12"/>
        </w:numPr>
        <w:ind w:left="851" w:firstLine="142"/>
        <w:rPr>
          <w:color w:val="000000"/>
        </w:rPr>
      </w:pPr>
      <w:r>
        <w:rPr>
          <w:color w:val="000000"/>
        </w:rPr>
        <w:t xml:space="preserve">Dla terenu oznaczonego na rysunku planu symbolem 1P ustala się: </w:t>
      </w:r>
    </w:p>
    <w:p w:rsidR="00000000" w:rsidRDefault="007717B9">
      <w:pPr>
        <w:ind w:left="851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przeznaczenie podstawowe – zabudowa produkcyjna;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przeznaczenie uzupełniające – us</w:t>
      </w:r>
      <w:r>
        <w:rPr>
          <w:color w:val="000000"/>
        </w:rPr>
        <w:t xml:space="preserve">ługi; 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parametry i wskaźniki kształtowania zabudowy o przeznaczeniu podstawowym w zakresie jej budowy: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maksymalna powierzchnia zabudowy 85 % powierzchni wydzielonej działki budowlanej;</w:t>
      </w:r>
    </w:p>
    <w:p w:rsidR="00000000" w:rsidRDefault="007717B9">
      <w:pPr>
        <w:ind w:left="1191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udział powierzchni biologicznie czynnej minimum 10 % powierzchni wyd</w:t>
      </w:r>
      <w:r>
        <w:rPr>
          <w:color w:val="000000"/>
        </w:rPr>
        <w:t>zielonej działki budowlanej,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maksymalny wskaźnik intensywności zabudowy: 2,5;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wysokość zabudowy do 16 m, przy czym max 3 kondygnacje</w:t>
      </w:r>
      <w:r>
        <w:rPr>
          <w:rFonts w:cs="Arial"/>
          <w:color w:val="000000"/>
        </w:rPr>
        <w:t xml:space="preserve"> </w:t>
      </w:r>
      <w:r>
        <w:rPr>
          <w:color w:val="000000"/>
        </w:rPr>
        <w:t>nadziemne w tym poddasze użytkowe, określona wysokość nie dotyczy obiektów takich jak kominy, maszty, silosy i inne obiek</w:t>
      </w:r>
      <w:r>
        <w:rPr>
          <w:color w:val="000000"/>
        </w:rPr>
        <w:t xml:space="preserve">ty i urządzenia towarzyszące, których wysokość wynika z wymogów techniczno-konstrukcyjnych, jednak nie więcej niż 20 m, 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dachy płaskie lub dwuspadowe o kącie pochylenia połaci dachowych od 20°do 40°;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w odniesieniu do zabudowy istniejącej powyższe ustalen</w:t>
      </w:r>
      <w:r>
        <w:rPr>
          <w:color w:val="000000"/>
        </w:rPr>
        <w:t>ia lit. a, b, c, d, e należy stosować odpowiednio w ramach dokonywanej zmiany;</w:t>
      </w:r>
    </w:p>
    <w:p w:rsidR="00000000" w:rsidRDefault="007717B9">
      <w:pPr>
        <w:ind w:left="1191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parametry i wskaźniki kształtowania zabudowy o przeznaczeniu uzupełniającym w zakresie jej budowy:</w:t>
      </w:r>
    </w:p>
    <w:p w:rsidR="00000000" w:rsidRDefault="007717B9">
      <w:pPr>
        <w:ind w:left="1191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lastRenderedPageBreak/>
        <w:t>maksymalna powierzchnia zabudowy 40 % powierzchni zabudowy o przeznaczeniu p</w:t>
      </w:r>
      <w:r>
        <w:rPr>
          <w:color w:val="000000"/>
        </w:rPr>
        <w:t>odstawowym;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 xml:space="preserve">wysokość zabudowy do 8 m, przy czym max. 2 kondygnacje nadziemne w tym poddasze użytkowe; 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dachy płaskie lub dwuspadowe o kącie pochylenia połaci dachowych od 20°do 40°;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w odniesieniu do zabudowy istniejącej powyższe ustalenia lit. a, b, c n</w:t>
      </w:r>
      <w:r>
        <w:rPr>
          <w:color w:val="000000"/>
        </w:rPr>
        <w:t>ależy stosować odpowiednio w ramach dokonywanej zmiany;</w:t>
      </w:r>
    </w:p>
    <w:p w:rsidR="00000000" w:rsidRDefault="007717B9">
      <w:pPr>
        <w:ind w:left="964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 xml:space="preserve">w zakresie warunków podziału nieruchomości i parametrów działki budowlanej obowiązują: 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powierzchnia działki nie mniejsza niż 3000 m</w:t>
      </w:r>
      <w:r>
        <w:rPr>
          <w:color w:val="000000"/>
          <w:vertAlign w:val="superscript"/>
        </w:rPr>
        <w:t>2</w:t>
      </w:r>
      <w:r>
        <w:rPr>
          <w:color w:val="000000"/>
        </w:rPr>
        <w:t>,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szerokość frontu działki nie mniejsza niż 30 mb;</w:t>
      </w:r>
    </w:p>
    <w:p w:rsidR="00000000" w:rsidRDefault="007717B9">
      <w:pPr>
        <w:ind w:left="1191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kąt położeni</w:t>
      </w:r>
      <w:r>
        <w:rPr>
          <w:color w:val="000000"/>
        </w:rPr>
        <w:t>a wydzielonych działek budowlanych w stosunku do przyległego pasa drogowego minimum 70</w:t>
      </w:r>
      <w:r>
        <w:rPr>
          <w:rFonts w:cs="Arial"/>
          <w:color w:val="000000"/>
        </w:rPr>
        <w:t>°;</w:t>
      </w:r>
    </w:p>
    <w:p w:rsidR="00000000" w:rsidRDefault="007717B9">
      <w:pPr>
        <w:pStyle w:val="Akapitzlist"/>
        <w:numPr>
          <w:ilvl w:val="0"/>
          <w:numId w:val="0"/>
        </w:numPr>
        <w:ind w:left="284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zakresie określenia linii zabudowy:</w:t>
      </w:r>
    </w:p>
    <w:p w:rsidR="00000000" w:rsidRDefault="007717B9">
      <w:pPr>
        <w:ind w:left="964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nieprzekraczalne linie zabudowy zgodnie z rysunkiem planu;</w:t>
      </w:r>
    </w:p>
    <w:p w:rsidR="00000000" w:rsidRDefault="007717B9">
      <w:pPr>
        <w:pStyle w:val="Akapitzlist"/>
        <w:numPr>
          <w:ilvl w:val="0"/>
          <w:numId w:val="0"/>
        </w:numPr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zakresie obsługi komunikacyjnej, ustala się:</w:t>
      </w:r>
    </w:p>
    <w:p w:rsidR="00000000" w:rsidRDefault="007717B9">
      <w:pPr>
        <w:ind w:left="964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obsługę terenu 1P</w:t>
      </w:r>
      <w:r>
        <w:rPr>
          <w:b/>
          <w:color w:val="000000"/>
        </w:rPr>
        <w:t xml:space="preserve"> </w:t>
      </w:r>
      <w:r>
        <w:rPr>
          <w:color w:val="000000"/>
        </w:rPr>
        <w:t>z</w:t>
      </w:r>
      <w:r>
        <w:rPr>
          <w:color w:val="000000"/>
        </w:rPr>
        <w:t xml:space="preserve"> drogi</w:t>
      </w:r>
      <w:r>
        <w:rPr>
          <w:rFonts w:cs="Arial"/>
          <w:color w:val="000000"/>
        </w:rPr>
        <w:t xml:space="preserve"> KDL zlokalizowanej poza obszarem objętym planem</w:t>
      </w:r>
      <w:r>
        <w:rPr>
          <w:color w:val="000000"/>
        </w:rPr>
        <w:t>;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utrzymanie istniejących podłączeń i zjazdów do układu komunikacyjnego;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możliwość wyznaczania dróg wewnętrznych o minimalnej szerokości 8,0 m;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w zakresie zapewnienia miejsc postojowych ustala się mi</w:t>
      </w:r>
      <w:r>
        <w:rPr>
          <w:color w:val="000000"/>
        </w:rPr>
        <w:t>nimum 3 miejsca postojowe na 10 zatrudnionych oraz obowiązuje zapewnienie dodatkowego miejsca postojowego dla osoby niepełnosprawnej;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 xml:space="preserve"> w zakresie ochrony i kształtowania ładu przestrzennego ustala się: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dopuszcza się lokalizację budynków na działkach budo</w:t>
      </w:r>
      <w:r>
        <w:rPr>
          <w:color w:val="000000"/>
        </w:rPr>
        <w:t>wlanych bezpośrednio przy granicy;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rFonts w:cs="Arial"/>
          <w:color w:val="000000"/>
        </w:rPr>
        <w:t>ustala się lokalizację ogrodzeń frontowych działek zgodnie z liniami rozgraniczającymi dróg wyznaczonych planem, dopuszcza się ich wycofanie nie więcej niż 1,5 m w głąb działki w miejscach sytuowania bram wjazdowych oraz</w:t>
      </w:r>
      <w:r>
        <w:rPr>
          <w:rFonts w:cs="Arial"/>
          <w:color w:val="000000"/>
        </w:rPr>
        <w:t xml:space="preserve"> w przypadku konieczności ominięcia istniejących przeszkód (np. drzew, urządzeń infrastruktury technicznej itp.);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rFonts w:eastAsia="Lucida Sans Unicode" w:cs="Arial"/>
          <w:color w:val="000000"/>
          <w:szCs w:val="20"/>
        </w:rPr>
        <w:t>zakaz realizacji ogrodzeń pełnych i z przęsłami z prefabrykowanych elementów betonowych</w:t>
      </w:r>
      <w:r>
        <w:rPr>
          <w:color w:val="000000"/>
        </w:rPr>
        <w:t>;</w:t>
      </w:r>
    </w:p>
    <w:p w:rsidR="00000000" w:rsidRDefault="007717B9">
      <w:pPr>
        <w:ind w:left="907"/>
        <w:rPr>
          <w:color w:val="000000"/>
        </w:rPr>
      </w:pPr>
    </w:p>
    <w:p w:rsidR="00000000" w:rsidRDefault="007717B9">
      <w:pPr>
        <w:numPr>
          <w:ilvl w:val="3"/>
          <w:numId w:val="12"/>
        </w:numPr>
        <w:rPr>
          <w:color w:val="000000"/>
        </w:rPr>
      </w:pPr>
      <w:r>
        <w:rPr>
          <w:color w:val="000000"/>
        </w:rPr>
        <w:t>wysokość ogrodzeń do 1,8 m, mierząc od poziomu chod</w:t>
      </w:r>
      <w:r>
        <w:rPr>
          <w:color w:val="000000"/>
        </w:rPr>
        <w:t xml:space="preserve">nika lub poziomu terenu do najwyższego punktu ogrodzenia; 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>w zakresie infrastruktury technicznej obowiązują odpowiednie ustalenia zawarte w §9;</w:t>
      </w:r>
    </w:p>
    <w:p w:rsidR="00000000" w:rsidRDefault="007717B9">
      <w:pPr>
        <w:ind w:left="612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lastRenderedPageBreak/>
        <w:t>w części terenu 1P zlokalizowana jest linia elektroenergetyczna 15kV ze strefą ograniczonego użytkowania o sze</w:t>
      </w:r>
      <w:r>
        <w:rPr>
          <w:color w:val="000000"/>
        </w:rPr>
        <w:t>rokości o 7,5 m od osi linii;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2"/>
          <w:numId w:val="12"/>
        </w:numPr>
        <w:rPr>
          <w:color w:val="000000"/>
        </w:rPr>
      </w:pPr>
      <w:r>
        <w:rPr>
          <w:color w:val="000000"/>
        </w:rPr>
        <w:t xml:space="preserve"> wartość stawki procentowej służącej naliczeniu opłaty wynikającej ze wzrostu wartości nieruchomości wynosi 15%.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pStyle w:val="Wyrodkowany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Rozdział 3</w:t>
      </w:r>
    </w:p>
    <w:p w:rsidR="00000000" w:rsidRDefault="007717B9">
      <w:pPr>
        <w:pStyle w:val="Wyrodkowany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Przepisy końcowe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0"/>
          <w:numId w:val="12"/>
        </w:numPr>
        <w:ind w:left="540" w:firstLine="169"/>
        <w:rPr>
          <w:color w:val="000000"/>
        </w:rPr>
      </w:pPr>
      <w:r>
        <w:rPr>
          <w:color w:val="000000"/>
        </w:rPr>
        <w:t>Wykonanie uchwały powierza się Burmistrzowi Miasta Płońsk.</w:t>
      </w:r>
    </w:p>
    <w:p w:rsidR="00000000" w:rsidRDefault="007717B9">
      <w:pPr>
        <w:rPr>
          <w:color w:val="000000"/>
        </w:rPr>
      </w:pPr>
    </w:p>
    <w:p w:rsidR="00000000" w:rsidRDefault="007717B9">
      <w:pPr>
        <w:numPr>
          <w:ilvl w:val="0"/>
          <w:numId w:val="12"/>
        </w:numPr>
        <w:ind w:left="540" w:firstLine="169"/>
        <w:rPr>
          <w:color w:val="000000"/>
        </w:rPr>
      </w:pPr>
      <w:r>
        <w:rPr>
          <w:color w:val="000000"/>
        </w:rPr>
        <w:t>1. W związku ze wzros</w:t>
      </w:r>
      <w:r>
        <w:rPr>
          <w:color w:val="000000"/>
        </w:rPr>
        <w:t xml:space="preserve">tem wartości nieruchomości w wyniku uchwalenia planu, ustanawia się opłatę z tytułu wzrostu wartości nieruchomości. </w:t>
      </w:r>
    </w:p>
    <w:p w:rsidR="00000000" w:rsidRDefault="007717B9">
      <w:pPr>
        <w:ind w:left="851"/>
        <w:rPr>
          <w:color w:val="000000"/>
        </w:rPr>
      </w:pPr>
    </w:p>
    <w:p w:rsidR="00000000" w:rsidRDefault="007717B9">
      <w:pPr>
        <w:numPr>
          <w:ilvl w:val="1"/>
          <w:numId w:val="19"/>
        </w:numPr>
        <w:ind w:left="900" w:firstLine="0"/>
        <w:rPr>
          <w:color w:val="000000"/>
        </w:rPr>
      </w:pPr>
      <w:r>
        <w:rPr>
          <w:color w:val="000000"/>
        </w:rPr>
        <w:t>Wartość stawki procentowej służącej naliczaniu opłaty określa się w ustaleniach szczegółowych.</w:t>
      </w: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ind w:left="0"/>
        <w:rPr>
          <w:color w:val="000000"/>
        </w:rPr>
      </w:pPr>
    </w:p>
    <w:p w:rsidR="00000000" w:rsidRDefault="007717B9">
      <w:pPr>
        <w:numPr>
          <w:ilvl w:val="0"/>
          <w:numId w:val="12"/>
        </w:numPr>
        <w:ind w:left="540" w:firstLine="169"/>
        <w:rPr>
          <w:color w:val="000000"/>
        </w:rPr>
      </w:pPr>
      <w:r>
        <w:rPr>
          <w:color w:val="000000"/>
        </w:rPr>
        <w:t>Uchwała wchodzi w życie po upływie 30 dni</w:t>
      </w:r>
      <w:r>
        <w:rPr>
          <w:color w:val="000000"/>
        </w:rPr>
        <w:t xml:space="preserve"> od dnia jej ogłoszenia w Dzienniku Urzędowym Województwa Mazowieckiego.</w:t>
      </w:r>
    </w:p>
    <w:p w:rsidR="00000000" w:rsidRDefault="007717B9">
      <w:pPr>
        <w:ind w:left="5664"/>
        <w:rPr>
          <w:color w:val="000000"/>
        </w:rPr>
      </w:pPr>
    </w:p>
    <w:p w:rsidR="00000000" w:rsidRDefault="007717B9">
      <w:pPr>
        <w:ind w:left="5664"/>
        <w:rPr>
          <w:color w:val="000000"/>
        </w:rPr>
      </w:pPr>
    </w:p>
    <w:p w:rsidR="00000000" w:rsidRDefault="007717B9">
      <w:pPr>
        <w:ind w:left="4956"/>
        <w:rPr>
          <w:b/>
          <w:color w:val="000000"/>
        </w:rPr>
      </w:pPr>
      <w:r>
        <w:rPr>
          <w:b/>
          <w:color w:val="000000"/>
        </w:rPr>
        <w:t>Przewodniczący Rady Miejskiej w Płońsku</w:t>
      </w: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  <w:r>
        <w:rPr>
          <w:b/>
          <w:color w:val="000000"/>
        </w:rPr>
        <w:t xml:space="preserve"> Zygmunt Aleksandrowicz</w:t>
      </w: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ind w:left="5664"/>
        <w:rPr>
          <w:b/>
          <w:color w:val="000000"/>
        </w:rPr>
      </w:pPr>
    </w:p>
    <w:p w:rsidR="00000000" w:rsidRDefault="007717B9">
      <w:pPr>
        <w:jc w:val="center"/>
        <w:rPr>
          <w:rFonts w:cs="Arial"/>
          <w:b/>
        </w:rPr>
      </w:pPr>
      <w:r>
        <w:rPr>
          <w:rFonts w:cs="Arial"/>
          <w:b/>
        </w:rPr>
        <w:t>Uzasadnienie</w:t>
      </w:r>
    </w:p>
    <w:p w:rsidR="00000000" w:rsidRDefault="007717B9">
      <w:pPr>
        <w:jc w:val="center"/>
        <w:rPr>
          <w:rFonts w:cs="Arial"/>
          <w:b/>
        </w:rPr>
      </w:pPr>
      <w:r>
        <w:rPr>
          <w:rFonts w:cs="Arial"/>
          <w:b/>
        </w:rPr>
        <w:t>do Uchwały Nr LXIX/402/10</w:t>
      </w:r>
    </w:p>
    <w:p w:rsidR="00000000" w:rsidRDefault="007717B9">
      <w:pPr>
        <w:jc w:val="center"/>
        <w:rPr>
          <w:rFonts w:cs="Arial"/>
          <w:b/>
        </w:rPr>
      </w:pPr>
      <w:r>
        <w:rPr>
          <w:rFonts w:cs="Arial"/>
          <w:b/>
        </w:rPr>
        <w:t xml:space="preserve"> Rady Miejskiej w Płońsku </w:t>
      </w:r>
    </w:p>
    <w:p w:rsidR="00000000" w:rsidRDefault="007717B9">
      <w:pPr>
        <w:jc w:val="center"/>
        <w:rPr>
          <w:rFonts w:cs="Arial"/>
          <w:b/>
        </w:rPr>
      </w:pPr>
      <w:r>
        <w:rPr>
          <w:rFonts w:cs="Arial"/>
          <w:b/>
        </w:rPr>
        <w:t>z dnia 30 marca  2010</w:t>
      </w:r>
      <w:r>
        <w:rPr>
          <w:rFonts w:cs="Arial"/>
          <w:b/>
        </w:rPr>
        <w:t>r.</w:t>
      </w:r>
    </w:p>
    <w:p w:rsidR="00000000" w:rsidRDefault="007717B9">
      <w:pPr>
        <w:jc w:val="center"/>
        <w:rPr>
          <w:rFonts w:cs="Arial"/>
          <w:b/>
        </w:rPr>
      </w:pPr>
    </w:p>
    <w:p w:rsidR="00000000" w:rsidRDefault="007717B9">
      <w:pPr>
        <w:autoSpaceDE w:val="0"/>
        <w:autoSpaceDN w:val="0"/>
        <w:adjustRightInd w:val="0"/>
        <w:jc w:val="center"/>
        <w:rPr>
          <w:rFonts w:cs="Arial"/>
          <w:b/>
        </w:rPr>
      </w:pPr>
      <w:r>
        <w:rPr>
          <w:rFonts w:cs="Arial"/>
          <w:b/>
        </w:rPr>
        <w:t>w sprawie uchwalenia zmiany Miejscowego Planu Ogólnego Zagospodarowania</w:t>
      </w:r>
    </w:p>
    <w:p w:rsidR="00000000" w:rsidRDefault="007717B9">
      <w:pPr>
        <w:jc w:val="center"/>
        <w:rPr>
          <w:rFonts w:cs="Arial"/>
          <w:b/>
        </w:rPr>
      </w:pPr>
      <w:r>
        <w:rPr>
          <w:rFonts w:cs="Arial"/>
          <w:b/>
        </w:rPr>
        <w:t>Przestrzennego dla obszaru położonego w Płońsku przy ul. Przemysłowej</w:t>
      </w:r>
    </w:p>
    <w:p w:rsidR="00000000" w:rsidRDefault="007717B9">
      <w:pPr>
        <w:jc w:val="center"/>
        <w:rPr>
          <w:b/>
        </w:rPr>
      </w:pPr>
    </w:p>
    <w:p w:rsidR="00000000" w:rsidRDefault="007717B9">
      <w:pPr>
        <w:jc w:val="center"/>
        <w:rPr>
          <w:b/>
        </w:rPr>
      </w:pPr>
    </w:p>
    <w:p w:rsidR="00000000" w:rsidRDefault="007717B9">
      <w:pPr>
        <w:rPr>
          <w:rFonts w:cs="Arial"/>
        </w:rPr>
      </w:pPr>
      <w:r>
        <w:rPr>
          <w:b/>
        </w:rPr>
        <w:tab/>
      </w:r>
      <w:r>
        <w:rPr>
          <w:rFonts w:cs="Arial"/>
        </w:rPr>
        <w:t>Zgodnie z art. 3 ust. 1 ustawy z dnia 27 marca 2003 roku o planowaniu i zagospodarowaniu przestrzennym  (Dz</w:t>
      </w:r>
      <w:r>
        <w:rPr>
          <w:rFonts w:cs="Arial"/>
        </w:rPr>
        <w:t xml:space="preserve">. U z 2003r. N r80, poz. 717 z późn. zm) kształtowanie i prowadzenie polityki przestrzennej na terenie gminy, w tym uchwalanie miejscowych planów zagospodarowania przestrzennego, należy do zadań własnych gminy. </w:t>
      </w:r>
    </w:p>
    <w:p w:rsidR="00000000" w:rsidRDefault="007717B9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ab/>
        <w:t>Przedmiotowy projekt planu został opracowan</w:t>
      </w:r>
      <w:r>
        <w:rPr>
          <w:rFonts w:cs="Arial"/>
        </w:rPr>
        <w:t>y zgodnie z uchwałą Nr XXXIII/177/08 Rady Miejskiej w Płońsku z dnia 17 kwietnia 2008 r. w sprawie przystąpienia do sporządzenia zmiany Miejscowego Planu Ogólnego Zagospodarowania Przestrzennego Miasta Płońsk dla obszaru położonego w Płońsku przy ul. Przem</w:t>
      </w:r>
      <w:r>
        <w:rPr>
          <w:rFonts w:cs="Arial"/>
        </w:rPr>
        <w:t>ysłowej.</w:t>
      </w:r>
    </w:p>
    <w:p w:rsidR="00000000" w:rsidRDefault="007717B9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Do opracowywania planu przystąpiono w oparciu o wniosek właściciela nieruchomości położonej w granicach projektowanego obszaru.</w:t>
      </w:r>
    </w:p>
    <w:p w:rsidR="00000000" w:rsidRDefault="007717B9">
      <w:pPr>
        <w:autoSpaceDE w:val="0"/>
        <w:autoSpaceDN w:val="0"/>
        <w:adjustRightInd w:val="0"/>
        <w:ind w:firstLine="708"/>
        <w:rPr>
          <w:rFonts w:cs="Arial"/>
        </w:rPr>
      </w:pPr>
      <w:r>
        <w:rPr>
          <w:rFonts w:cs="Arial"/>
        </w:rPr>
        <w:t>Procedura uchwalenia miejscowego planu zagospodarowania przestrzennego  dla obszaru położonego w Płońsku przy ul. Przem</w:t>
      </w:r>
      <w:r>
        <w:rPr>
          <w:rFonts w:cs="Arial"/>
        </w:rPr>
        <w:t xml:space="preserve">ysłowej została przeprowadzona zgodnie z art. 17 ustawy o planowaniu i zagospodarowaniu przestrzennym </w:t>
      </w:r>
    </w:p>
    <w:p w:rsidR="00000000" w:rsidRDefault="007717B9">
      <w:pPr>
        <w:autoSpaceDE w:val="0"/>
        <w:autoSpaceDN w:val="0"/>
        <w:adjustRightInd w:val="0"/>
        <w:ind w:firstLine="708"/>
        <w:rPr>
          <w:rFonts w:cs="Arial"/>
        </w:rPr>
      </w:pPr>
      <w:r>
        <w:rPr>
          <w:rFonts w:cs="Arial"/>
        </w:rPr>
        <w:t>W związku z wyczerpaniem trybu sporządzania miejscowego planu zagospodarowania przestrzennego wymaganego przepisami ustawy z 2003 roku o planowaniu i zag</w:t>
      </w:r>
      <w:r>
        <w:rPr>
          <w:rFonts w:cs="Arial"/>
        </w:rPr>
        <w:t>ospodarowaniu przestrzennym(Dz. U z 2003r. Nr 80, poz. 717 z późn. zm.) niniejszym przedkładam projekt uchwały.</w:t>
      </w:r>
    </w:p>
    <w:p w:rsidR="00000000" w:rsidRDefault="007717B9">
      <w:pPr>
        <w:autoSpaceDE w:val="0"/>
        <w:autoSpaceDN w:val="0"/>
        <w:adjustRightInd w:val="0"/>
        <w:rPr>
          <w:rFonts w:cs="Arial"/>
        </w:rPr>
      </w:pPr>
    </w:p>
    <w:p w:rsidR="00000000" w:rsidRDefault="007717B9">
      <w:pPr>
        <w:rPr>
          <w:rFonts w:cs="Arial"/>
        </w:rPr>
      </w:pPr>
    </w:p>
    <w:p w:rsidR="00000000" w:rsidRDefault="007717B9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Burmistrz Miasta Płońska </w:t>
      </w:r>
    </w:p>
    <w:p w:rsidR="00000000" w:rsidRDefault="007717B9">
      <w:pPr>
        <w:rPr>
          <w:rFonts w:cs="Arial"/>
        </w:rPr>
      </w:pPr>
    </w:p>
    <w:p w:rsidR="00000000" w:rsidRDefault="007717B9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Andrzej Pietrasik</w:t>
      </w:r>
    </w:p>
    <w:p w:rsidR="00000000" w:rsidRDefault="007717B9">
      <w:pPr>
        <w:rPr>
          <w:rFonts w:cs="Arial"/>
          <w:sz w:val="20"/>
          <w:szCs w:val="20"/>
        </w:rPr>
      </w:pPr>
    </w:p>
    <w:p w:rsidR="00000000" w:rsidRDefault="007717B9">
      <w:pPr>
        <w:rPr>
          <w:rFonts w:cs="Arial"/>
          <w:sz w:val="20"/>
          <w:szCs w:val="20"/>
        </w:rPr>
      </w:pPr>
    </w:p>
    <w:p w:rsidR="00000000" w:rsidRDefault="007717B9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Sporz. E. Grzeszczak</w:t>
      </w:r>
    </w:p>
    <w:p w:rsidR="00000000" w:rsidRDefault="007717B9">
      <w:pPr>
        <w:rPr>
          <w:rFonts w:cs="Arial"/>
          <w:sz w:val="20"/>
          <w:szCs w:val="20"/>
        </w:rPr>
      </w:pPr>
    </w:p>
    <w:p w:rsidR="00000000" w:rsidRDefault="007717B9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Spr. K. Marszał Jankowska</w:t>
      </w:r>
    </w:p>
    <w:p w:rsidR="007717B9" w:rsidRDefault="007717B9">
      <w:pPr>
        <w:ind w:left="5664"/>
        <w:rPr>
          <w:b/>
          <w:color w:val="000000"/>
        </w:rPr>
      </w:pPr>
    </w:p>
    <w:sectPr w:rsidR="007717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-1560" w:right="987" w:bottom="1560" w:left="1077" w:header="142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7B9" w:rsidRDefault="007717B9">
      <w:r>
        <w:separator/>
      </w:r>
    </w:p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</w:endnote>
  <w:endnote w:type="continuationSeparator" w:id="0">
    <w:p w:rsidR="007717B9" w:rsidRDefault="007717B9">
      <w:r>
        <w:continuationSeparator/>
      </w:r>
    </w:p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717B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</w:instrText>
    </w:r>
    <w:r>
      <w:rPr>
        <w:rStyle w:val="Numerstrony"/>
      </w:rPr>
      <w:instrText xml:space="preserve"> </w:instrText>
    </w:r>
    <w:r>
      <w:rPr>
        <w:rStyle w:val="Numerstrony"/>
      </w:rPr>
      <w:fldChar w:fldCharType="end"/>
    </w:r>
  </w:p>
  <w:p w:rsidR="00000000" w:rsidRDefault="007717B9">
    <w:pPr>
      <w:pStyle w:val="Stopka"/>
      <w:ind w:right="360"/>
    </w:pPr>
  </w:p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717B9">
    <w:pPr>
      <w:pStyle w:val="Stopka"/>
      <w:jc w:val="right"/>
    </w:pPr>
    <w:r>
      <w:t xml:space="preserve">| </w:t>
    </w:r>
    <w:r>
      <w:fldChar w:fldCharType="begin"/>
    </w:r>
    <w:r>
      <w:instrText xml:space="preserve"> PAGE   \* MERGEFORMAT </w:instrText>
    </w:r>
    <w:r>
      <w:fldChar w:fldCharType="separate"/>
    </w:r>
    <w:r w:rsidR="00A454F3">
      <w:rPr>
        <w:noProof/>
      </w:rPr>
      <w:t>2</w:t>
    </w:r>
    <w:r>
      <w:fldChar w:fldCharType="end"/>
    </w:r>
    <w:r>
      <w:t xml:space="preserve"> </w:t>
    </w:r>
  </w:p>
  <w:p w:rsidR="00000000" w:rsidRDefault="007717B9"/>
  <w:p w:rsidR="00000000" w:rsidRDefault="007717B9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717B9">
    <w:pPr>
      <w:pStyle w:val="Stopka"/>
      <w:tabs>
        <w:tab w:val="clear" w:pos="4536"/>
        <w:tab w:val="clear" w:pos="9072"/>
        <w:tab w:val="left" w:pos="692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7B9" w:rsidRDefault="007717B9">
      <w:r>
        <w:separator/>
      </w:r>
    </w:p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</w:footnote>
  <w:footnote w:type="continuationSeparator" w:id="0">
    <w:p w:rsidR="007717B9" w:rsidRDefault="007717B9">
      <w:r>
        <w:continuationSeparator/>
      </w:r>
    </w:p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  <w:p w:rsidR="007717B9" w:rsidRDefault="007717B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717B9">
    <w:pPr>
      <w:ind w:left="0"/>
      <w:jc w:val="center"/>
      <w:rPr>
        <w:b/>
        <w:sz w:val="18"/>
        <w:szCs w:val="18"/>
      </w:rPr>
    </w:pPr>
  </w:p>
  <w:p w:rsidR="00000000" w:rsidRDefault="007717B9">
    <w:pPr>
      <w:ind w:left="0"/>
      <w:jc w:val="center"/>
    </w:pPr>
  </w:p>
  <w:p w:rsidR="00000000" w:rsidRDefault="007717B9">
    <w:pPr>
      <w:ind w:left="0"/>
      <w:jc w:val="center"/>
    </w:pPr>
  </w:p>
  <w:p w:rsidR="00000000" w:rsidRDefault="007717B9">
    <w:pPr>
      <w:ind w:left="0"/>
      <w:jc w:val="center"/>
    </w:pPr>
  </w:p>
  <w:p w:rsidR="00000000" w:rsidRDefault="007717B9">
    <w:pPr>
      <w:ind w:left="0"/>
      <w:jc w:val="center"/>
    </w:pPr>
  </w:p>
  <w:p w:rsidR="00000000" w:rsidRDefault="007717B9">
    <w:pPr>
      <w:ind w:left="0"/>
      <w:jc w:val="center"/>
    </w:pPr>
  </w:p>
  <w:p w:rsidR="00000000" w:rsidRDefault="007717B9">
    <w:pPr>
      <w:ind w:left="0"/>
      <w:jc w:val="center"/>
    </w:pPr>
  </w:p>
  <w:p w:rsidR="00000000" w:rsidRDefault="007717B9">
    <w:pPr>
      <w:ind w:left="0"/>
      <w:jc w:val="center"/>
    </w:pPr>
  </w:p>
  <w:p w:rsidR="00000000" w:rsidRDefault="007717B9">
    <w:pPr>
      <w:ind w:left="0"/>
      <w:jc w:val="center"/>
    </w:pPr>
  </w:p>
  <w:p w:rsidR="00000000" w:rsidRDefault="007717B9">
    <w:pPr>
      <w:ind w:left="0"/>
      <w:jc w:val="center"/>
    </w:pPr>
  </w:p>
  <w:p w:rsidR="00000000" w:rsidRDefault="007717B9">
    <w:pPr>
      <w:ind w:left="0"/>
      <w:jc w:val="center"/>
    </w:pPr>
  </w:p>
  <w:p w:rsidR="00000000" w:rsidRDefault="007717B9">
    <w:pPr>
      <w:ind w:left="0"/>
      <w:jc w:val="center"/>
    </w:pPr>
  </w:p>
  <w:p w:rsidR="00000000" w:rsidRDefault="007717B9">
    <w:pPr>
      <w:ind w:left="0"/>
      <w:jc w:val="center"/>
    </w:pPr>
  </w:p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>
    <w:pPr>
      <w:ind w:left="0"/>
    </w:pPr>
  </w:p>
  <w:p w:rsidR="00000000" w:rsidRDefault="007717B9"/>
  <w:p w:rsidR="00000000" w:rsidRDefault="007717B9"/>
  <w:p w:rsidR="00000000" w:rsidRDefault="007717B9">
    <w:pPr>
      <w:ind w:left="0"/>
    </w:pPr>
  </w:p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>
    <w:pPr>
      <w:ind w:left="0"/>
    </w:pPr>
  </w:p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  <w:p w:rsidR="00000000" w:rsidRDefault="007717B9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717B9">
    <w:pPr>
      <w:pStyle w:val="Nagwek"/>
      <w:numPr>
        <w:ilvl w:val="0"/>
        <w:numId w:val="0"/>
      </w:num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777"/>
    <w:multiLevelType w:val="hybridMultilevel"/>
    <w:tmpl w:val="4680EF22"/>
    <w:lvl w:ilvl="0" w:tplc="AD0AF932">
      <w:start w:val="1"/>
      <w:numFmt w:val="lowerLetter"/>
      <w:pStyle w:val="Nagwek7"/>
      <w:lvlText w:val="a%1)"/>
      <w:lvlJc w:val="left"/>
      <w:pPr>
        <w:ind w:left="1146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E0A597D"/>
    <w:multiLevelType w:val="hybridMultilevel"/>
    <w:tmpl w:val="F8B84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2473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DE024E"/>
    <w:multiLevelType w:val="multilevel"/>
    <w:tmpl w:val="BF361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PUNKTYGWNE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0F4B563C"/>
    <w:multiLevelType w:val="multilevel"/>
    <w:tmpl w:val="5AE45F70"/>
    <w:lvl w:ilvl="0">
      <w:start w:val="1"/>
      <w:numFmt w:val="decimal"/>
      <w:suff w:val="space"/>
      <w:lvlText w:val="§%1."/>
      <w:lvlJc w:val="left"/>
      <w:pPr>
        <w:ind w:left="360" w:hanging="360"/>
      </w:pPr>
      <w:rPr>
        <w:rFonts w:ascii="Arial" w:hAnsi="Arial" w:hint="default"/>
        <w:b/>
        <w:i w:val="0"/>
        <w:sz w:val="22"/>
        <w:szCs w:val="22"/>
      </w:rPr>
    </w:lvl>
    <w:lvl w:ilvl="1">
      <w:start w:val="2"/>
      <w:numFmt w:val="decimal"/>
      <w:suff w:val="space"/>
      <w:lvlText w:val="%2."/>
      <w:lvlJc w:val="left"/>
      <w:pPr>
        <w:ind w:left="612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ind w:left="907" w:hanging="295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ind w:left="1728" w:hanging="821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%5)"/>
      <w:lvlJc w:val="left"/>
      <w:pPr>
        <w:ind w:left="2232" w:hanging="792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none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336296A"/>
    <w:multiLevelType w:val="multilevel"/>
    <w:tmpl w:val="47B67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sz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14D4396B"/>
    <w:multiLevelType w:val="multilevel"/>
    <w:tmpl w:val="68227FC0"/>
    <w:lvl w:ilvl="0">
      <w:start w:val="18"/>
      <w:numFmt w:val="decimal"/>
      <w:suff w:val="space"/>
      <w:lvlText w:val="§%1."/>
      <w:lvlJc w:val="left"/>
      <w:pPr>
        <w:ind w:left="360" w:hanging="360"/>
      </w:pPr>
      <w:rPr>
        <w:rFonts w:ascii="Arial" w:hAnsi="Arial" w:hint="default"/>
        <w:b/>
        <w:i w:val="0"/>
        <w:sz w:val="22"/>
        <w:szCs w:val="22"/>
      </w:rPr>
    </w:lvl>
    <w:lvl w:ilvl="1">
      <w:start w:val="2"/>
      <w:numFmt w:val="decimal"/>
      <w:suff w:val="space"/>
      <w:lvlText w:val="%2."/>
      <w:lvlJc w:val="left"/>
      <w:pPr>
        <w:ind w:left="612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284"/>
        </w:tabs>
        <w:ind w:left="964" w:hanging="352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907"/>
        </w:tabs>
        <w:ind w:left="1191" w:hanging="284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%5)"/>
      <w:lvlJc w:val="left"/>
      <w:pPr>
        <w:ind w:left="1837" w:hanging="397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none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C7909E6"/>
    <w:multiLevelType w:val="multilevel"/>
    <w:tmpl w:val="61B260C0"/>
    <w:lvl w:ilvl="0">
      <w:start w:val="1"/>
      <w:numFmt w:val="decimal"/>
      <w:suff w:val="space"/>
      <w:lvlText w:val="§%1."/>
      <w:lvlJc w:val="left"/>
      <w:pPr>
        <w:ind w:left="360" w:hanging="36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2."/>
      <w:lvlJc w:val="left"/>
      <w:pPr>
        <w:ind w:left="612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ind w:left="907" w:hanging="295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ind w:left="1728" w:hanging="821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%5)"/>
      <w:lvlJc w:val="left"/>
      <w:pPr>
        <w:ind w:left="2232" w:hanging="792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none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211A164C"/>
    <w:multiLevelType w:val="multilevel"/>
    <w:tmpl w:val="93CEEDFE"/>
    <w:lvl w:ilvl="0">
      <w:start w:val="1"/>
      <w:numFmt w:val="decimal"/>
      <w:pStyle w:val="ParagrafS"/>
      <w:lvlText w:val=" %1."/>
      <w:lvlJc w:val="left"/>
      <w:pPr>
        <w:tabs>
          <w:tab w:val="num" w:pos="4588"/>
        </w:tabs>
        <w:ind w:left="4248" w:hanging="3568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2)"/>
      <w:lvlJc w:val="left"/>
      <w:pPr>
        <w:tabs>
          <w:tab w:val="num" w:pos="4881"/>
        </w:tabs>
        <w:ind w:left="4881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lowerLetter"/>
      <w:pStyle w:val="Nagwek3"/>
      <w:lvlText w:val="%3)"/>
      <w:lvlJc w:val="left"/>
      <w:pPr>
        <w:tabs>
          <w:tab w:val="num" w:pos="4532"/>
        </w:tabs>
        <w:ind w:left="4529" w:hanging="357"/>
      </w:pPr>
      <w:rPr>
        <w:rFonts w:ascii="Arial" w:eastAsia="Times New Roman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lowerLetter"/>
      <w:lvlText w:val="%4)"/>
      <w:lvlJc w:val="left"/>
      <w:pPr>
        <w:tabs>
          <w:tab w:val="num" w:pos="5152"/>
        </w:tabs>
        <w:ind w:left="5152" w:hanging="380"/>
      </w:pPr>
      <w:rPr>
        <w:rFonts w:ascii="Arial" w:hAnsi="Arial" w:hint="default"/>
        <w:b w:val="0"/>
        <w:i w:val="0"/>
        <w:color w:val="auto"/>
        <w:sz w:val="22"/>
      </w:rPr>
    </w:lvl>
    <w:lvl w:ilvl="4">
      <w:start w:val="1"/>
      <w:numFmt w:val="lowerLetter"/>
      <w:lvlText w:val="(%5)"/>
      <w:lvlJc w:val="left"/>
      <w:pPr>
        <w:tabs>
          <w:tab w:val="num" w:pos="5742"/>
        </w:tabs>
        <w:ind w:left="574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6102"/>
        </w:tabs>
        <w:ind w:left="6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462"/>
        </w:tabs>
        <w:ind w:left="646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22"/>
        </w:tabs>
        <w:ind w:left="682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182"/>
        </w:tabs>
        <w:ind w:left="7182" w:hanging="360"/>
      </w:pPr>
      <w:rPr>
        <w:rFonts w:hint="default"/>
      </w:rPr>
    </w:lvl>
  </w:abstractNum>
  <w:abstractNum w:abstractNumId="8">
    <w:nsid w:val="24A17FB5"/>
    <w:multiLevelType w:val="hybridMultilevel"/>
    <w:tmpl w:val="6A5A79CA"/>
    <w:lvl w:ilvl="0" w:tplc="ADC29254">
      <w:start w:val="1"/>
      <w:numFmt w:val="lowerLetter"/>
      <w:pStyle w:val="Nagwek"/>
      <w:lvlText w:val="%1)"/>
      <w:lvlJc w:val="left"/>
      <w:pPr>
        <w:ind w:left="17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>
    <w:nsid w:val="2B546936"/>
    <w:multiLevelType w:val="multilevel"/>
    <w:tmpl w:val="8584BF02"/>
    <w:lvl w:ilvl="0">
      <w:start w:val="3"/>
      <w:numFmt w:val="decimal"/>
      <w:suff w:val="space"/>
      <w:lvlText w:val="§%1."/>
      <w:lvlJc w:val="left"/>
      <w:pPr>
        <w:ind w:left="360" w:hanging="36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2."/>
      <w:lvlJc w:val="left"/>
      <w:pPr>
        <w:ind w:left="612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284"/>
        </w:tabs>
        <w:ind w:left="964" w:hanging="352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907"/>
        </w:tabs>
        <w:ind w:left="1191" w:hanging="284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%5)"/>
      <w:lvlJc w:val="left"/>
      <w:pPr>
        <w:ind w:left="1837" w:hanging="397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none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2BD40EE2"/>
    <w:multiLevelType w:val="hybridMultilevel"/>
    <w:tmpl w:val="45564E70"/>
    <w:lvl w:ilvl="0" w:tplc="3D929790">
      <w:start w:val="1"/>
      <w:numFmt w:val="decimal"/>
      <w:pStyle w:val="Akapitzlist"/>
      <w:lvlText w:val="§%1."/>
      <w:lvlJc w:val="left"/>
      <w:pPr>
        <w:ind w:left="1211" w:hanging="360"/>
      </w:pPr>
      <w:rPr>
        <w:rFonts w:ascii="Times New Roman" w:hAnsi="Times New Roman" w:hint="default"/>
        <w:b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92486616">
      <w:start w:val="1"/>
      <w:numFmt w:val="decimal"/>
      <w:lvlText w:val="%3)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 w:tplc="92F8996C">
      <w:start w:val="1"/>
      <w:numFmt w:val="lowerLetter"/>
      <w:lvlText w:val="%4)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0847CFD"/>
    <w:multiLevelType w:val="multilevel"/>
    <w:tmpl w:val="8584BF02"/>
    <w:lvl w:ilvl="0">
      <w:start w:val="3"/>
      <w:numFmt w:val="decimal"/>
      <w:suff w:val="space"/>
      <w:lvlText w:val="§%1."/>
      <w:lvlJc w:val="left"/>
      <w:pPr>
        <w:ind w:left="360" w:hanging="36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2."/>
      <w:lvlJc w:val="left"/>
      <w:pPr>
        <w:ind w:left="612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284"/>
        </w:tabs>
        <w:ind w:left="964" w:hanging="352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907"/>
        </w:tabs>
        <w:ind w:left="1191" w:hanging="284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%5)"/>
      <w:lvlJc w:val="left"/>
      <w:pPr>
        <w:ind w:left="1837" w:hanging="397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none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378D5AA3"/>
    <w:multiLevelType w:val="hybridMultilevel"/>
    <w:tmpl w:val="D160E314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 w:val="0"/>
        <w:i w:val="0"/>
        <w:sz w:val="24"/>
      </w:rPr>
    </w:lvl>
    <w:lvl w:ilvl="1" w:tplc="FFFFFFFF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ascii="Arial" w:hAnsi="Arial" w:hint="default"/>
        <w:sz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882DD3"/>
    <w:multiLevelType w:val="multilevel"/>
    <w:tmpl w:val="8C4A70CA"/>
    <w:lvl w:ilvl="0">
      <w:start w:val="1"/>
      <w:numFmt w:val="decimal"/>
      <w:pStyle w:val="Nagwek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51660334"/>
    <w:multiLevelType w:val="multilevel"/>
    <w:tmpl w:val="8584BF02"/>
    <w:lvl w:ilvl="0">
      <w:start w:val="3"/>
      <w:numFmt w:val="decimal"/>
      <w:suff w:val="space"/>
      <w:lvlText w:val="§%1."/>
      <w:lvlJc w:val="left"/>
      <w:pPr>
        <w:ind w:left="786" w:hanging="36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2."/>
      <w:lvlJc w:val="left"/>
      <w:pPr>
        <w:ind w:left="1038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710"/>
        </w:tabs>
        <w:ind w:left="1390" w:hanging="352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333"/>
        </w:tabs>
        <w:ind w:left="1617" w:hanging="284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%5)"/>
      <w:lvlJc w:val="left"/>
      <w:pPr>
        <w:ind w:left="2263" w:hanging="397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none"/>
      <w:lvlText w:val="%1.%2.%3.%4.%5.%6."/>
      <w:lvlJc w:val="left"/>
      <w:pPr>
        <w:tabs>
          <w:tab w:val="num" w:pos="3666"/>
        </w:tabs>
        <w:ind w:left="3162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4026"/>
        </w:tabs>
        <w:ind w:left="3666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4746"/>
        </w:tabs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6"/>
        </w:tabs>
        <w:ind w:left="4746" w:hanging="1440"/>
      </w:pPr>
      <w:rPr>
        <w:rFonts w:hint="default"/>
      </w:rPr>
    </w:lvl>
  </w:abstractNum>
  <w:abstractNum w:abstractNumId="15">
    <w:nsid w:val="56C6308B"/>
    <w:multiLevelType w:val="hybridMultilevel"/>
    <w:tmpl w:val="6A802F6E"/>
    <w:lvl w:ilvl="0" w:tplc="637E767E">
      <w:start w:val="1"/>
      <w:numFmt w:val="lowerLetter"/>
      <w:pStyle w:val="Nagwek8"/>
      <w:lvlText w:val="b%1)"/>
      <w:lvlJc w:val="left"/>
      <w:pPr>
        <w:ind w:left="1854" w:hanging="360"/>
      </w:pPr>
      <w:rPr>
        <w:rFonts w:hint="default"/>
        <w:color w:val="auto"/>
        <w:sz w:val="22"/>
      </w:rPr>
    </w:lvl>
    <w:lvl w:ilvl="1" w:tplc="2A7E8DE8" w:tentative="1">
      <w:start w:val="1"/>
      <w:numFmt w:val="lowerLetter"/>
      <w:lvlText w:val="%2."/>
      <w:lvlJc w:val="left"/>
      <w:pPr>
        <w:ind w:left="2574" w:hanging="360"/>
      </w:pPr>
    </w:lvl>
    <w:lvl w:ilvl="2" w:tplc="88D4D158" w:tentative="1">
      <w:start w:val="1"/>
      <w:numFmt w:val="lowerRoman"/>
      <w:lvlText w:val="%3."/>
      <w:lvlJc w:val="right"/>
      <w:pPr>
        <w:ind w:left="3294" w:hanging="180"/>
      </w:pPr>
    </w:lvl>
    <w:lvl w:ilvl="3" w:tplc="99D40930" w:tentative="1">
      <w:start w:val="1"/>
      <w:numFmt w:val="decimal"/>
      <w:lvlText w:val="%4."/>
      <w:lvlJc w:val="left"/>
      <w:pPr>
        <w:ind w:left="4014" w:hanging="360"/>
      </w:pPr>
    </w:lvl>
    <w:lvl w:ilvl="4" w:tplc="C386A5D4" w:tentative="1">
      <w:start w:val="1"/>
      <w:numFmt w:val="lowerLetter"/>
      <w:lvlText w:val="%5."/>
      <w:lvlJc w:val="left"/>
      <w:pPr>
        <w:ind w:left="4734" w:hanging="360"/>
      </w:pPr>
    </w:lvl>
    <w:lvl w:ilvl="5" w:tplc="4D1803EC" w:tentative="1">
      <w:start w:val="1"/>
      <w:numFmt w:val="lowerRoman"/>
      <w:lvlText w:val="%6."/>
      <w:lvlJc w:val="right"/>
      <w:pPr>
        <w:ind w:left="5454" w:hanging="180"/>
      </w:pPr>
    </w:lvl>
    <w:lvl w:ilvl="6" w:tplc="E2E86C2E" w:tentative="1">
      <w:start w:val="1"/>
      <w:numFmt w:val="decimal"/>
      <w:lvlText w:val="%7."/>
      <w:lvlJc w:val="left"/>
      <w:pPr>
        <w:ind w:left="6174" w:hanging="360"/>
      </w:pPr>
    </w:lvl>
    <w:lvl w:ilvl="7" w:tplc="B08466DA" w:tentative="1">
      <w:start w:val="1"/>
      <w:numFmt w:val="lowerLetter"/>
      <w:lvlText w:val="%8."/>
      <w:lvlJc w:val="left"/>
      <w:pPr>
        <w:ind w:left="6894" w:hanging="360"/>
      </w:pPr>
    </w:lvl>
    <w:lvl w:ilvl="8" w:tplc="50820B16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593A3CFD"/>
    <w:multiLevelType w:val="hybridMultilevel"/>
    <w:tmpl w:val="5B10D62C"/>
    <w:lvl w:ilvl="0" w:tplc="A7A84808">
      <w:start w:val="27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9">
      <w:start w:val="1"/>
      <w:numFmt w:val="lowerLetter"/>
      <w:lvlText w:val="%3."/>
      <w:lvlJc w:val="lef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5ABD5056"/>
    <w:multiLevelType w:val="multilevel"/>
    <w:tmpl w:val="8584BF02"/>
    <w:lvl w:ilvl="0">
      <w:start w:val="3"/>
      <w:numFmt w:val="decimal"/>
      <w:suff w:val="space"/>
      <w:lvlText w:val="§%1."/>
      <w:lvlJc w:val="left"/>
      <w:pPr>
        <w:ind w:left="1353" w:hanging="36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2."/>
      <w:lvlJc w:val="left"/>
      <w:pPr>
        <w:ind w:left="612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284"/>
        </w:tabs>
        <w:ind w:left="964" w:hanging="352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907"/>
        </w:tabs>
        <w:ind w:left="1191" w:hanging="284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%5)"/>
      <w:lvlJc w:val="left"/>
      <w:pPr>
        <w:ind w:left="1837" w:hanging="397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none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60D212BA"/>
    <w:multiLevelType w:val="multilevel"/>
    <w:tmpl w:val="8584BF02"/>
    <w:lvl w:ilvl="0">
      <w:start w:val="3"/>
      <w:numFmt w:val="decimal"/>
      <w:suff w:val="space"/>
      <w:lvlText w:val="§%1."/>
      <w:lvlJc w:val="left"/>
      <w:pPr>
        <w:ind w:left="1260" w:hanging="36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2."/>
      <w:lvlJc w:val="left"/>
      <w:pPr>
        <w:ind w:left="612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284"/>
        </w:tabs>
        <w:ind w:left="964" w:hanging="352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907"/>
        </w:tabs>
        <w:ind w:left="1191" w:hanging="284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%5)"/>
      <w:lvlJc w:val="left"/>
      <w:pPr>
        <w:ind w:left="1837" w:hanging="397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none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655E1199"/>
    <w:multiLevelType w:val="multilevel"/>
    <w:tmpl w:val="E5243E22"/>
    <w:lvl w:ilvl="0">
      <w:start w:val="13"/>
      <w:numFmt w:val="decimal"/>
      <w:suff w:val="space"/>
      <w:lvlText w:val="§%1."/>
      <w:lvlJc w:val="left"/>
      <w:pPr>
        <w:ind w:left="1069" w:hanging="36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2."/>
      <w:lvlJc w:val="left"/>
      <w:pPr>
        <w:ind w:left="612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8"/>
      <w:numFmt w:val="none"/>
      <w:lvlText w:val="9)"/>
      <w:lvlJc w:val="left"/>
      <w:pPr>
        <w:tabs>
          <w:tab w:val="num" w:pos="284"/>
        </w:tabs>
        <w:ind w:left="964" w:hanging="352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907"/>
        </w:tabs>
        <w:ind w:left="1191" w:hanging="284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%5)"/>
      <w:lvlJc w:val="left"/>
      <w:pPr>
        <w:ind w:left="1837" w:hanging="397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none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66BF7490"/>
    <w:multiLevelType w:val="hybridMultilevel"/>
    <w:tmpl w:val="68808F04"/>
    <w:lvl w:ilvl="0" w:tplc="8822F8D0">
      <w:start w:val="1"/>
      <w:numFmt w:val="decimal"/>
      <w:pStyle w:val="Nagwek4"/>
      <w:lvlText w:val="%1)"/>
      <w:lvlJc w:val="left"/>
      <w:pPr>
        <w:ind w:left="107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28103AB2">
      <w:start w:val="1"/>
      <w:numFmt w:val="lowerLetter"/>
      <w:lvlText w:val="%2)"/>
      <w:lvlJc w:val="left"/>
      <w:pPr>
        <w:tabs>
          <w:tab w:val="num" w:pos="6212"/>
        </w:tabs>
        <w:ind w:left="6212" w:hanging="360"/>
      </w:pPr>
      <w:rPr>
        <w:rFonts w:hint="default"/>
      </w:rPr>
    </w:lvl>
    <w:lvl w:ilvl="2" w:tplc="0415001B">
      <w:start w:val="1"/>
      <w:numFmt w:val="lowerLetter"/>
      <w:lvlText w:val="%3)"/>
      <w:lvlJc w:val="right"/>
      <w:pPr>
        <w:ind w:left="6932" w:hanging="180"/>
      </w:pPr>
      <w:rPr>
        <w:rFonts w:ascii="Arial" w:eastAsia="Times New Roman" w:hAnsi="Arial" w:cs="Arial"/>
      </w:rPr>
    </w:lvl>
    <w:lvl w:ilvl="3" w:tplc="0415000F" w:tentative="1">
      <w:start w:val="1"/>
      <w:numFmt w:val="decimal"/>
      <w:lvlText w:val="%4."/>
      <w:lvlJc w:val="left"/>
      <w:pPr>
        <w:ind w:left="7652" w:hanging="360"/>
      </w:pPr>
    </w:lvl>
    <w:lvl w:ilvl="4" w:tplc="04150019" w:tentative="1">
      <w:start w:val="1"/>
      <w:numFmt w:val="lowerLetter"/>
      <w:lvlText w:val="%5."/>
      <w:lvlJc w:val="left"/>
      <w:pPr>
        <w:ind w:left="8372" w:hanging="360"/>
      </w:pPr>
    </w:lvl>
    <w:lvl w:ilvl="5" w:tplc="0415001B" w:tentative="1">
      <w:start w:val="1"/>
      <w:numFmt w:val="lowerRoman"/>
      <w:lvlText w:val="%6."/>
      <w:lvlJc w:val="right"/>
      <w:pPr>
        <w:ind w:left="9092" w:hanging="180"/>
      </w:pPr>
    </w:lvl>
    <w:lvl w:ilvl="6" w:tplc="0415000F" w:tentative="1">
      <w:start w:val="1"/>
      <w:numFmt w:val="decimal"/>
      <w:lvlText w:val="%7."/>
      <w:lvlJc w:val="left"/>
      <w:pPr>
        <w:ind w:left="9812" w:hanging="360"/>
      </w:pPr>
    </w:lvl>
    <w:lvl w:ilvl="7" w:tplc="04150019" w:tentative="1">
      <w:start w:val="1"/>
      <w:numFmt w:val="lowerLetter"/>
      <w:lvlText w:val="%8."/>
      <w:lvlJc w:val="left"/>
      <w:pPr>
        <w:ind w:left="10532" w:hanging="360"/>
      </w:pPr>
    </w:lvl>
    <w:lvl w:ilvl="8" w:tplc="0415001B" w:tentative="1">
      <w:start w:val="1"/>
      <w:numFmt w:val="lowerRoman"/>
      <w:lvlText w:val="%9."/>
      <w:lvlJc w:val="right"/>
      <w:pPr>
        <w:ind w:left="11252" w:hanging="180"/>
      </w:pPr>
    </w:lvl>
  </w:abstractNum>
  <w:abstractNum w:abstractNumId="21">
    <w:nsid w:val="771B1A07"/>
    <w:multiLevelType w:val="multilevel"/>
    <w:tmpl w:val="5AE456B0"/>
    <w:lvl w:ilvl="0">
      <w:start w:val="3"/>
      <w:numFmt w:val="decimal"/>
      <w:suff w:val="space"/>
      <w:lvlText w:val="§%1."/>
      <w:lvlJc w:val="left"/>
      <w:pPr>
        <w:ind w:left="360" w:hanging="36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2."/>
      <w:lvlJc w:val="left"/>
      <w:pPr>
        <w:ind w:left="612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284"/>
        </w:tabs>
        <w:ind w:left="964" w:hanging="352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907"/>
        </w:tabs>
        <w:ind w:left="1191" w:hanging="284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b/>
        <w:i w:val="0"/>
        <w:sz w:val="22"/>
        <w:szCs w:val="22"/>
      </w:rPr>
    </w:lvl>
    <w:lvl w:ilvl="5">
      <w:start w:val="1"/>
      <w:numFmt w:val="none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7D613C30"/>
    <w:multiLevelType w:val="hybridMultilevel"/>
    <w:tmpl w:val="12F4689C"/>
    <w:lvl w:ilvl="0" w:tplc="B638FA4E">
      <w:start w:val="1"/>
      <w:numFmt w:val="lowerLetter"/>
      <w:pStyle w:val="Nagwek5"/>
      <w:lvlText w:val="%1)"/>
      <w:lvlJc w:val="left"/>
      <w:pPr>
        <w:ind w:left="1353" w:hanging="360"/>
      </w:pPr>
      <w:rPr>
        <w:rFonts w:hint="default"/>
        <w:color w:val="auto"/>
        <w:sz w:val="22"/>
      </w:rPr>
    </w:lvl>
    <w:lvl w:ilvl="1" w:tplc="04150019">
      <w:start w:val="52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eastAsia="Times New Roman" w:hAnsi="Symbol" w:cs="Arial" w:hint="default"/>
      </w:rPr>
    </w:lvl>
    <w:lvl w:ilvl="2" w:tplc="0415001B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3"/>
  </w:num>
  <w:num w:numId="2">
    <w:abstractNumId w:val="2"/>
  </w:num>
  <w:num w:numId="3">
    <w:abstractNumId w:val="7"/>
  </w:num>
  <w:num w:numId="4">
    <w:abstractNumId w:val="10"/>
  </w:num>
  <w:num w:numId="5">
    <w:abstractNumId w:val="20"/>
  </w:num>
  <w:num w:numId="6">
    <w:abstractNumId w:val="0"/>
  </w:num>
  <w:num w:numId="7">
    <w:abstractNumId w:val="15"/>
  </w:num>
  <w:num w:numId="8">
    <w:abstractNumId w:val="22"/>
  </w:num>
  <w:num w:numId="9">
    <w:abstractNumId w:val="4"/>
  </w:num>
  <w:num w:numId="10">
    <w:abstractNumId w:val="8"/>
  </w:num>
  <w:num w:numId="11">
    <w:abstractNumId w:val="6"/>
  </w:num>
  <w:num w:numId="12">
    <w:abstractNumId w:val="17"/>
  </w:num>
  <w:num w:numId="13">
    <w:abstractNumId w:val="3"/>
  </w:num>
  <w:num w:numId="14">
    <w:abstractNumId w:val="21"/>
  </w:num>
  <w:num w:numId="15">
    <w:abstractNumId w:val="16"/>
  </w:num>
  <w:num w:numId="16">
    <w:abstractNumId w:val="14"/>
  </w:num>
  <w:num w:numId="17">
    <w:abstractNumId w:val="11"/>
  </w:num>
  <w:num w:numId="18">
    <w:abstractNumId w:val="9"/>
  </w:num>
  <w:num w:numId="19">
    <w:abstractNumId w:val="5"/>
  </w:num>
  <w:num w:numId="20">
    <w:abstractNumId w:val="12"/>
  </w:num>
  <w:num w:numId="21">
    <w:abstractNumId w:val="18"/>
  </w:num>
  <w:num w:numId="22">
    <w:abstractNumId w:val="1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454F3"/>
    <w:rsid w:val="007717B9"/>
    <w:rsid w:val="00A45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utoRedefine/>
    <w:qFormat/>
    <w:pPr>
      <w:ind w:left="709"/>
      <w:jc w:val="both"/>
    </w:pPr>
    <w:rPr>
      <w:rFonts w:ascii="Arial" w:hAnsi="Arial"/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Arial"/>
      <w:bCs/>
    </w:rPr>
  </w:style>
  <w:style w:type="paragraph" w:styleId="Nagwek2">
    <w:name w:val="heading 2"/>
    <w:aliases w:val="ustęp Znak Znak"/>
    <w:basedOn w:val="tytu1"/>
    <w:next w:val="tytu1"/>
    <w:autoRedefine/>
    <w:qFormat/>
    <w:pPr>
      <w:numPr>
        <w:numId w:val="1"/>
      </w:numPr>
      <w:jc w:val="both"/>
      <w:outlineLvl w:val="1"/>
    </w:pPr>
  </w:style>
  <w:style w:type="paragraph" w:styleId="Nagwek3">
    <w:name w:val="heading 3"/>
    <w:aliases w:val="PUNKT GŁÓWNY"/>
    <w:basedOn w:val="tytu1"/>
    <w:next w:val="tytu1"/>
    <w:qFormat/>
    <w:pPr>
      <w:numPr>
        <w:ilvl w:val="2"/>
        <w:numId w:val="3"/>
      </w:numPr>
      <w:spacing w:before="120" w:after="120"/>
      <w:outlineLvl w:val="2"/>
    </w:pPr>
    <w:rPr>
      <w:szCs w:val="26"/>
    </w:rPr>
  </w:style>
  <w:style w:type="paragraph" w:styleId="Nagwek4">
    <w:name w:val="heading 4"/>
    <w:basedOn w:val="tytu1"/>
    <w:next w:val="tytu1"/>
    <w:qFormat/>
    <w:pPr>
      <w:numPr>
        <w:numId w:val="5"/>
      </w:numPr>
      <w:spacing w:before="120" w:after="120"/>
      <w:jc w:val="left"/>
      <w:outlineLvl w:val="3"/>
    </w:pPr>
    <w:rPr>
      <w:rFonts w:cs="Times New Roman"/>
      <w:szCs w:val="28"/>
    </w:rPr>
  </w:style>
  <w:style w:type="paragraph" w:styleId="Nagwek5">
    <w:name w:val="heading 5"/>
    <w:basedOn w:val="Normalny"/>
    <w:next w:val="Normalny"/>
    <w:qFormat/>
    <w:pPr>
      <w:keepNext/>
      <w:numPr>
        <w:numId w:val="8"/>
      </w:numPr>
      <w:outlineLvl w:val="4"/>
    </w:pPr>
    <w:rPr>
      <w:rFonts w:cs="Arial"/>
      <w:bCs/>
    </w:rPr>
  </w:style>
  <w:style w:type="paragraph" w:styleId="Nagwek6">
    <w:name w:val="heading 6"/>
    <w:basedOn w:val="Normalny"/>
    <w:next w:val="Normalny"/>
    <w:qFormat/>
    <w:pPr>
      <w:keepNext/>
      <w:ind w:left="425"/>
      <w:jc w:val="center"/>
      <w:outlineLvl w:val="5"/>
    </w:pPr>
    <w:rPr>
      <w:rFonts w:cs="Arial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numId w:val="6"/>
      </w:numPr>
      <w:ind w:left="1491" w:hanging="357"/>
      <w:outlineLvl w:val="6"/>
    </w:pPr>
    <w:rPr>
      <w:rFonts w:cs="Arial"/>
      <w:bCs/>
    </w:rPr>
  </w:style>
  <w:style w:type="paragraph" w:styleId="Nagwek8">
    <w:name w:val="heading 8"/>
    <w:basedOn w:val="Normalny"/>
    <w:next w:val="Normalny"/>
    <w:qFormat/>
    <w:pPr>
      <w:keepNext/>
      <w:numPr>
        <w:numId w:val="7"/>
      </w:numPr>
      <w:ind w:left="1848" w:hanging="357"/>
      <w:outlineLvl w:val="7"/>
    </w:pPr>
    <w:rPr>
      <w:rFonts w:cs="Arial"/>
      <w:szCs w:val="40"/>
    </w:rPr>
  </w:style>
  <w:style w:type="paragraph" w:styleId="Nagwek9">
    <w:name w:val="heading 9"/>
    <w:basedOn w:val="Normalny"/>
    <w:next w:val="Normalny"/>
    <w:qFormat/>
    <w:pPr>
      <w:keepNext/>
      <w:spacing w:line="360" w:lineRule="auto"/>
      <w:jc w:val="right"/>
      <w:outlineLvl w:val="8"/>
    </w:pPr>
    <w:rPr>
      <w:rFonts w:cs="Arial"/>
      <w:b/>
      <w:bCs/>
      <w:w w:val="150"/>
      <w:sz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1">
    <w:name w:val="tytuł 1"/>
    <w:autoRedefine/>
    <w:pPr>
      <w:tabs>
        <w:tab w:val="left" w:pos="567"/>
      </w:tabs>
      <w:ind w:left="1134" w:hanging="141"/>
      <w:jc w:val="center"/>
    </w:pPr>
    <w:rPr>
      <w:rFonts w:ascii="Arial" w:hAnsi="Arial" w:cs="Arial"/>
      <w:bCs/>
      <w:sz w:val="22"/>
      <w:szCs w:val="22"/>
    </w:rPr>
  </w:style>
  <w:style w:type="character" w:customStyle="1" w:styleId="PUNKTGWNYZnakZnak">
    <w:name w:val="PUNKT GŁÓWNY Znak Znak"/>
    <w:basedOn w:val="Domylnaczcionkaakapitu"/>
    <w:rPr>
      <w:rFonts w:ascii="Arial" w:hAnsi="Arial" w:cs="Arial"/>
      <w:bCs/>
      <w:sz w:val="22"/>
      <w:szCs w:val="26"/>
    </w:rPr>
  </w:style>
  <w:style w:type="paragraph" w:styleId="Nagwek">
    <w:name w:val="header"/>
    <w:aliases w:val="stopka,paragraf"/>
    <w:basedOn w:val="tytu1"/>
    <w:autoRedefine/>
    <w:semiHidden/>
    <w:pPr>
      <w:numPr>
        <w:numId w:val="10"/>
      </w:numPr>
      <w:tabs>
        <w:tab w:val="clear" w:pos="567"/>
      </w:tabs>
      <w:spacing w:line="360" w:lineRule="auto"/>
      <w:ind w:hanging="720"/>
      <w:jc w:val="both"/>
    </w:pPr>
  </w:style>
  <w:style w:type="paragraph" w:styleId="Tekstpodstawowy">
    <w:name w:val="Body Text"/>
    <w:basedOn w:val="Normalny"/>
    <w:semiHidden/>
    <w:pPr>
      <w:spacing w:line="360" w:lineRule="auto"/>
    </w:pPr>
    <w:rPr>
      <w:rFonts w:cs="Arial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spacing w:line="360" w:lineRule="auto"/>
    </w:pPr>
    <w:rPr>
      <w:rFonts w:cs="Arial"/>
    </w:rPr>
  </w:style>
  <w:style w:type="character" w:styleId="UyteHipercze">
    <w:name w:val="FollowedHyperlink"/>
    <w:basedOn w:val="Domylnaczcionkaakapitu"/>
    <w:semiHidden/>
    <w:rPr>
      <w:color w:val="800080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rFonts w:cs="Arial"/>
      <w:b/>
      <w:bCs/>
      <w:kern w:val="28"/>
    </w:rPr>
  </w:style>
  <w:style w:type="paragraph" w:styleId="Tekstpodstawowywcity">
    <w:name w:val="Body Text Indent"/>
    <w:basedOn w:val="Normalny"/>
    <w:semiHidden/>
    <w:pPr>
      <w:spacing w:line="360" w:lineRule="auto"/>
      <w:jc w:val="center"/>
    </w:pPr>
    <w:rPr>
      <w:rFonts w:cs="Arial"/>
      <w:b/>
      <w:bCs/>
      <w:sz w:val="40"/>
      <w:szCs w:val="40"/>
    </w:rPr>
  </w:style>
  <w:style w:type="paragraph" w:styleId="Tekstpodstawowy3">
    <w:name w:val="Body Text 3"/>
    <w:basedOn w:val="Normalny"/>
    <w:semiHidden/>
    <w:rPr>
      <w:rFonts w:cs="Arial"/>
    </w:rPr>
  </w:style>
  <w:style w:type="paragraph" w:styleId="Tekstpodstawowy2">
    <w:name w:val="Body Text 2"/>
    <w:basedOn w:val="Normalny"/>
    <w:semiHidden/>
    <w:rPr>
      <w:rFonts w:cs="Arial"/>
      <w:color w:val="000000"/>
    </w:rPr>
  </w:style>
  <w:style w:type="paragraph" w:styleId="Tekstpodstawowywcity2">
    <w:name w:val="Body Text Indent 2"/>
    <w:basedOn w:val="Normalny"/>
    <w:semiHidden/>
    <w:pPr>
      <w:tabs>
        <w:tab w:val="num" w:pos="454"/>
      </w:tabs>
      <w:ind w:left="814" w:hanging="454"/>
    </w:pPr>
    <w:rPr>
      <w:rFonts w:cs="Arial"/>
    </w:rPr>
  </w:style>
  <w:style w:type="character" w:styleId="Numerstrony">
    <w:name w:val="page number"/>
    <w:basedOn w:val="Domylnaczcionkaakapitu"/>
    <w:semiHidden/>
  </w:style>
  <w:style w:type="paragraph" w:styleId="Tekstpodstawowywcity3">
    <w:name w:val="Body Text Indent 3"/>
    <w:basedOn w:val="Normalny"/>
    <w:semiHidden/>
    <w:pPr>
      <w:ind w:left="720" w:hanging="360"/>
    </w:pPr>
    <w:rPr>
      <w:rFonts w:cs="Arial"/>
      <w:bCs/>
      <w:color w:val="000000"/>
    </w:rPr>
  </w:style>
  <w:style w:type="paragraph" w:customStyle="1" w:styleId="Wyrodkowany">
    <w:name w:val="Wyśrodkowany"/>
    <w:basedOn w:val="Normalny"/>
    <w:pPr>
      <w:jc w:val="center"/>
    </w:pPr>
  </w:style>
  <w:style w:type="character" w:customStyle="1" w:styleId="Nagwek2ustpZnakZnak">
    <w:name w:val="Nagłówek 2;ustęp Znak Znak"/>
    <w:basedOn w:val="Domylnaczcionkaakapitu"/>
    <w:rPr>
      <w:rFonts w:ascii="Arial" w:hAnsi="Arial" w:cs="Arial"/>
      <w:bCs/>
      <w:noProof w:val="0"/>
      <w:sz w:val="22"/>
      <w:szCs w:val="22"/>
      <w:lang w:val="pl-PL" w:eastAsia="pl-PL" w:bidi="ar-SA"/>
    </w:rPr>
  </w:style>
  <w:style w:type="paragraph" w:customStyle="1" w:styleId="tekstbold">
    <w:name w:val="tekst bold"/>
    <w:basedOn w:val="tytu1"/>
    <w:rPr>
      <w:b/>
    </w:rPr>
  </w:style>
  <w:style w:type="character" w:customStyle="1" w:styleId="tekstboldZnak">
    <w:name w:val="tekst bold Znak"/>
    <w:basedOn w:val="Domylnaczcionkaakapitu"/>
    <w:rPr>
      <w:rFonts w:ascii="Arial" w:hAnsi="Arial" w:cs="Arial"/>
      <w:b/>
      <w:bCs/>
      <w:noProof w:val="0"/>
      <w:sz w:val="22"/>
      <w:szCs w:val="22"/>
      <w:lang w:val="pl-PL" w:eastAsia="pl-PL" w:bidi="ar-SA"/>
    </w:rPr>
  </w:style>
  <w:style w:type="paragraph" w:customStyle="1" w:styleId="rordzia">
    <w:name w:val="rordział"/>
    <w:basedOn w:val="tytu1"/>
    <w:autoRedefine/>
    <w:pPr>
      <w:tabs>
        <w:tab w:val="clear" w:pos="567"/>
      </w:tabs>
      <w:spacing w:before="120" w:after="120"/>
      <w:ind w:left="0" w:firstLine="0"/>
    </w:pPr>
    <w:rPr>
      <w:b/>
      <w:sz w:val="24"/>
    </w:rPr>
  </w:style>
  <w:style w:type="character" w:customStyle="1" w:styleId="NagwekZnak">
    <w:name w:val="Nagłówek Znak"/>
    <w:aliases w:val="paragraf Znak"/>
    <w:basedOn w:val="Domylnaczcionkaakapitu"/>
    <w:rPr>
      <w:rFonts w:ascii="Arial" w:hAnsi="Arial" w:cs="Arial"/>
      <w:bCs/>
      <w:noProof w:val="0"/>
      <w:sz w:val="22"/>
      <w:szCs w:val="22"/>
      <w:lang w:val="pl-PL" w:eastAsia="pl-PL" w:bidi="ar-SA"/>
    </w:rPr>
  </w:style>
  <w:style w:type="character" w:customStyle="1" w:styleId="tekstnormalnyZnak1">
    <w:name w:val="tekst normalny Znak1"/>
    <w:basedOn w:val="Domylnaczcionkaakapitu"/>
    <w:rPr>
      <w:rFonts w:ascii="Arial" w:hAnsi="Arial" w:cs="Arial"/>
      <w:bCs/>
      <w:noProof w:val="0"/>
      <w:sz w:val="22"/>
      <w:szCs w:val="22"/>
      <w:lang w:val="pl-PL" w:eastAsia="pl-PL" w:bidi="ar-SA"/>
    </w:rPr>
  </w:style>
  <w:style w:type="character" w:customStyle="1" w:styleId="tekstboldZnak1">
    <w:name w:val="tekst bold Znak1"/>
    <w:basedOn w:val="tekstnormalnyZnak1"/>
    <w:rPr>
      <w:b/>
    </w:rPr>
  </w:style>
  <w:style w:type="character" w:customStyle="1" w:styleId="tekstnormalnyZnak2">
    <w:name w:val="tekst normalny Znak2"/>
    <w:basedOn w:val="Domylnaczcionkaakapitu"/>
    <w:rPr>
      <w:rFonts w:ascii="Arial" w:hAnsi="Arial" w:cs="Arial"/>
      <w:bCs/>
      <w:noProof w:val="0"/>
      <w:sz w:val="22"/>
      <w:szCs w:val="22"/>
      <w:lang w:val="pl-PL" w:eastAsia="pl-PL" w:bidi="ar-SA"/>
    </w:rPr>
  </w:style>
  <w:style w:type="character" w:customStyle="1" w:styleId="tekstboldZnak2">
    <w:name w:val="tekst bold Znak2"/>
    <w:basedOn w:val="tekstnormalnyZnak2"/>
    <w:rPr>
      <w:b/>
    </w:rPr>
  </w:style>
  <w:style w:type="character" w:customStyle="1" w:styleId="tekstnormalnyZnak3">
    <w:name w:val="tekst normalny Znak3"/>
    <w:basedOn w:val="Domylnaczcionkaakapitu"/>
    <w:rPr>
      <w:rFonts w:ascii="Arial" w:hAnsi="Arial" w:cs="Arial"/>
      <w:bCs/>
      <w:noProof w:val="0"/>
      <w:sz w:val="22"/>
      <w:szCs w:val="22"/>
      <w:lang w:val="pl-PL" w:eastAsia="pl-PL" w:bidi="ar-SA"/>
    </w:rPr>
  </w:style>
  <w:style w:type="character" w:customStyle="1" w:styleId="tekstboldZnak3">
    <w:name w:val="tekst bold Znak3"/>
    <w:basedOn w:val="tekstnormalnyZnak3"/>
    <w:rPr>
      <w:b/>
    </w:rPr>
  </w:style>
  <w:style w:type="paragraph" w:styleId="Tekstdymka">
    <w:name w:val="Balloon Text"/>
    <w:basedOn w:val="Normalny"/>
    <w:pPr>
      <w:jc w:val="center"/>
    </w:pPr>
    <w:rPr>
      <w:rFonts w:ascii="Tahoma" w:hAnsi="Tahoma" w:cs="Tahoma"/>
      <w:b/>
      <w:bCs/>
      <w:sz w:val="16"/>
      <w:szCs w:val="16"/>
    </w:rPr>
  </w:style>
  <w:style w:type="paragraph" w:customStyle="1" w:styleId="Normalnybold">
    <w:name w:val="Normalny bold"/>
    <w:basedOn w:val="Normalny"/>
    <w:rPr>
      <w:b/>
    </w:rPr>
  </w:style>
  <w:style w:type="paragraph" w:styleId="Akapitzlist">
    <w:name w:val="List Paragraph"/>
    <w:basedOn w:val="Normalny"/>
    <w:qFormat/>
    <w:pPr>
      <w:numPr>
        <w:numId w:val="4"/>
      </w:numPr>
      <w:ind w:left="284" w:firstLine="0"/>
    </w:pPr>
    <w:rPr>
      <w:rFonts w:cs="Arial"/>
      <w:bCs/>
    </w:rPr>
  </w:style>
  <w:style w:type="paragraph" w:customStyle="1" w:styleId="ParagrafS">
    <w:name w:val="Paragraf S"/>
    <w:basedOn w:val="Normalny"/>
    <w:pPr>
      <w:numPr>
        <w:numId w:val="3"/>
      </w:numPr>
    </w:pPr>
  </w:style>
  <w:style w:type="paragraph" w:customStyle="1" w:styleId="Krempna2">
    <w:name w:val="Krempna 2"/>
    <w:rPr>
      <w:rFonts w:ascii="Arial" w:hAnsi="Arial" w:cs="Arial"/>
      <w:b/>
      <w:bCs/>
      <w:iCs/>
      <w:color w:val="000000"/>
    </w:rPr>
  </w:style>
  <w:style w:type="paragraph" w:customStyle="1" w:styleId="Paragraf">
    <w:name w:val="Paragraf"/>
    <w:basedOn w:val="Normalny"/>
    <w:pPr>
      <w:tabs>
        <w:tab w:val="num" w:pos="720"/>
      </w:tabs>
      <w:ind w:hanging="360"/>
    </w:pPr>
    <w:rPr>
      <w:rFonts w:cs="Arial"/>
      <w:b/>
      <w:bCs/>
    </w:rPr>
  </w:style>
  <w:style w:type="paragraph" w:customStyle="1" w:styleId="Podpodpunkty">
    <w:name w:val="Podpodpunkty"/>
    <w:basedOn w:val="Normalny"/>
    <w:pPr>
      <w:tabs>
        <w:tab w:val="num" w:pos="540"/>
        <w:tab w:val="num" w:pos="2883"/>
      </w:tabs>
      <w:ind w:left="568" w:hanging="284"/>
      <w:outlineLvl w:val="3"/>
    </w:pPr>
    <w:rPr>
      <w:bCs/>
      <w:szCs w:val="28"/>
    </w:rPr>
  </w:style>
  <w:style w:type="character" w:customStyle="1" w:styleId="tytu1Znak">
    <w:name w:val="tytuł 1 Znak"/>
    <w:basedOn w:val="Domylnaczcionkaakapitu"/>
    <w:rPr>
      <w:rFonts w:ascii="Arial" w:hAnsi="Arial" w:cs="Arial"/>
      <w:bCs/>
      <w:sz w:val="22"/>
      <w:szCs w:val="22"/>
      <w:lang w:val="pl-PL" w:eastAsia="pl-PL" w:bidi="ar-SA"/>
    </w:rPr>
  </w:style>
  <w:style w:type="paragraph" w:customStyle="1" w:styleId="PUNKTYGWNE">
    <w:name w:val="PUNKTY GŁÓWNE"/>
    <w:basedOn w:val="Normalny"/>
    <w:autoRedefine/>
    <w:pPr>
      <w:numPr>
        <w:ilvl w:val="1"/>
        <w:numId w:val="2"/>
      </w:numPr>
      <w:tabs>
        <w:tab w:val="clear" w:pos="720"/>
      </w:tabs>
    </w:pPr>
    <w:rPr>
      <w:rFonts w:cs="Arial"/>
      <w:bCs/>
    </w:rPr>
  </w:style>
  <w:style w:type="character" w:customStyle="1" w:styleId="PUNKTYGWNEZnak">
    <w:name w:val="PUNKTY GŁÓWNE Znak"/>
    <w:basedOn w:val="Domylnaczcionkaakapitu"/>
    <w:rPr>
      <w:rFonts w:ascii="Arial" w:hAnsi="Arial" w:cs="Arial"/>
      <w:bCs/>
      <w:sz w:val="22"/>
      <w:szCs w:val="22"/>
    </w:rPr>
  </w:style>
  <w:style w:type="character" w:customStyle="1" w:styleId="PodpodpunktyZnak">
    <w:name w:val="Podpodpunkty Znak"/>
    <w:basedOn w:val="Domylnaczcionkaakapitu"/>
    <w:rPr>
      <w:rFonts w:ascii="Arial" w:hAnsi="Arial"/>
      <w:bCs/>
      <w:sz w:val="22"/>
      <w:szCs w:val="28"/>
      <w:lang w:val="pl-PL" w:eastAsia="pl-PL" w:bidi="ar-SA"/>
    </w:rPr>
  </w:style>
  <w:style w:type="paragraph" w:customStyle="1" w:styleId="podpodpunkty0">
    <w:name w:val="podpodpunkty"/>
    <w:basedOn w:val="Podpodpunkty"/>
    <w:qFormat/>
    <w:pPr>
      <w:tabs>
        <w:tab w:val="clear" w:pos="540"/>
        <w:tab w:val="clear" w:pos="2883"/>
        <w:tab w:val="num" w:pos="377"/>
      </w:tabs>
      <w:ind w:left="377" w:hanging="380"/>
    </w:pPr>
  </w:style>
  <w:style w:type="paragraph" w:customStyle="1" w:styleId="Punktgwny">
    <w:name w:val="Punkt główny"/>
    <w:basedOn w:val="PUNKTYGWNE"/>
    <w:qFormat/>
  </w:style>
  <w:style w:type="character" w:customStyle="1" w:styleId="podpodpunktyZnak0">
    <w:name w:val="podpodpunkty Znak"/>
    <w:basedOn w:val="PodpodpunktyZnak"/>
  </w:style>
  <w:style w:type="paragraph" w:customStyle="1" w:styleId="ZnakZnak2">
    <w:name w:val="Znak Znak2"/>
    <w:basedOn w:val="Normalny"/>
    <w:pPr>
      <w:tabs>
        <w:tab w:val="num" w:pos="1060"/>
      </w:tabs>
      <w:ind w:left="720"/>
    </w:pPr>
  </w:style>
  <w:style w:type="character" w:customStyle="1" w:styleId="PunktgwnyZnak">
    <w:name w:val="Punkt główny Znak"/>
    <w:basedOn w:val="PUNKTYGWNEZnak"/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customStyle="1" w:styleId="Tabb">
    <w:name w:val="Tabb"/>
    <w:basedOn w:val="Normalny"/>
    <w:pPr>
      <w:ind w:left="0"/>
    </w:p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ZnakZnak">
    <w:name w:val=" Znak Znak"/>
    <w:basedOn w:val="Domylnaczcionkaakapitu"/>
    <w:rPr>
      <w:rFonts w:ascii="Arial" w:hAnsi="Arial" w:cs="Arial"/>
      <w:sz w:val="22"/>
      <w:szCs w:val="22"/>
      <w:lang w:val="pl-PL" w:eastAsia="pl-PL" w:bidi="ar-SA"/>
    </w:rPr>
  </w:style>
  <w:style w:type="paragraph" w:customStyle="1" w:styleId="Krempna1">
    <w:name w:val="Krempna 1"/>
    <w:pPr>
      <w:spacing w:before="240" w:after="120"/>
      <w:jc w:val="both"/>
    </w:pPr>
    <w:rPr>
      <w:rFonts w:ascii="Arial" w:hAnsi="Arial" w:cs="Arial"/>
      <w:b/>
      <w:kern w:val="32"/>
    </w:rPr>
  </w:style>
  <w:style w:type="paragraph" w:customStyle="1" w:styleId="Tytuaktu">
    <w:name w:val="Tytuł aktu"/>
    <w:pPr>
      <w:tabs>
        <w:tab w:val="num" w:pos="4588"/>
      </w:tabs>
      <w:spacing w:after="120"/>
      <w:ind w:left="4248"/>
      <w:jc w:val="center"/>
    </w:pPr>
    <w:rPr>
      <w:b/>
      <w:caps/>
      <w:noProof/>
      <w:sz w:val="24"/>
    </w:rPr>
  </w:style>
  <w:style w:type="paragraph" w:customStyle="1" w:styleId="ust">
    <w:name w:val="ust."/>
    <w:autoRedefine/>
    <w:pPr>
      <w:spacing w:after="160"/>
      <w:ind w:firstLine="624"/>
      <w:jc w:val="both"/>
    </w:pPr>
    <w:rPr>
      <w:noProof/>
      <w:sz w:val="24"/>
    </w:rPr>
  </w:style>
  <w:style w:type="paragraph" w:customStyle="1" w:styleId="pkt">
    <w:name w:val="pkt"/>
    <w:autoRedefine/>
    <w:pPr>
      <w:tabs>
        <w:tab w:val="num" w:pos="6102"/>
      </w:tabs>
      <w:spacing w:after="160"/>
      <w:ind w:left="397" w:hanging="340"/>
      <w:jc w:val="both"/>
    </w:pPr>
    <w:rPr>
      <w:noProof/>
      <w:sz w:val="24"/>
    </w:rPr>
  </w:style>
  <w:style w:type="paragraph" w:customStyle="1" w:styleId="tiret">
    <w:name w:val="tiret"/>
    <w:pPr>
      <w:spacing w:after="80"/>
      <w:ind w:left="851" w:hanging="171"/>
      <w:jc w:val="both"/>
    </w:pPr>
    <w:rPr>
      <w:noProof/>
      <w:sz w:val="24"/>
    </w:rPr>
  </w:style>
  <w:style w:type="paragraph" w:customStyle="1" w:styleId="za">
    <w:name w:val="zał"/>
    <w:basedOn w:val="Nagwek1"/>
    <w:autoRedefine/>
    <w:pPr>
      <w:tabs>
        <w:tab w:val="num" w:pos="4881"/>
      </w:tabs>
      <w:spacing w:after="120"/>
      <w:ind w:left="4881"/>
      <w:jc w:val="right"/>
    </w:pPr>
    <w:rPr>
      <w:rFonts w:ascii="Times New Roman" w:hAnsi="Times New Roman" w:cs="Times New Roman"/>
      <w:bCs w:val="0"/>
      <w:szCs w:val="20"/>
    </w:rPr>
  </w:style>
  <w:style w:type="paragraph" w:customStyle="1" w:styleId="za1">
    <w:name w:val="zał_1"/>
    <w:basedOn w:val="za"/>
    <w:autoRedefine/>
    <w:pPr>
      <w:tabs>
        <w:tab w:val="clear" w:pos="4881"/>
        <w:tab w:val="num" w:pos="4532"/>
      </w:tabs>
      <w:ind w:left="4529" w:hanging="357"/>
    </w:pPr>
    <w:rPr>
      <w:b/>
    </w:rPr>
  </w:style>
  <w:style w:type="character" w:customStyle="1" w:styleId="tiretZnak">
    <w:name w:val="tiret Znak"/>
    <w:basedOn w:val="Domylnaczcionkaakapitu"/>
    <w:rPr>
      <w:noProof/>
      <w:sz w:val="24"/>
      <w:lang w:val="pl-PL" w:eastAsia="pl-PL" w:bidi="ar-SA"/>
    </w:rPr>
  </w:style>
  <w:style w:type="character" w:customStyle="1" w:styleId="ZnakZnak1">
    <w:name w:val=" Znak Znak1"/>
    <w:basedOn w:val="Domylnaczcionkaakapitu"/>
    <w:rPr>
      <w:rFonts w:ascii="Arial" w:hAnsi="Arial" w:cs="Arial"/>
      <w:sz w:val="22"/>
      <w:szCs w:val="22"/>
    </w:rPr>
  </w:style>
  <w:style w:type="paragraph" w:customStyle="1" w:styleId="rozdzia">
    <w:name w:val="rozdział"/>
    <w:basedOn w:val="Nagwek4"/>
    <w:qFormat/>
    <w:pPr>
      <w:jc w:val="both"/>
    </w:pPr>
  </w:style>
  <w:style w:type="paragraph" w:customStyle="1" w:styleId="tekstnormalny">
    <w:name w:val="tekst normalny"/>
    <w:pPr>
      <w:jc w:val="both"/>
    </w:pPr>
    <w:rPr>
      <w:rFonts w:ascii="Arial" w:hAnsi="Arial" w:cs="Arial"/>
      <w:bCs/>
      <w:sz w:val="22"/>
      <w:szCs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ZnakZnak2Znak">
    <w:name w:val="Znak Znak2 Znak"/>
    <w:basedOn w:val="Domylnaczcionkaakapitu"/>
    <w:rPr>
      <w:rFonts w:ascii="Arial" w:hAnsi="Arial"/>
      <w:sz w:val="22"/>
      <w:szCs w:val="22"/>
      <w:lang w:val="pl-PL" w:eastAsia="pl-PL" w:bidi="ar-SA"/>
    </w:rPr>
  </w:style>
  <w:style w:type="character" w:customStyle="1" w:styleId="akapitdomyslny1">
    <w:name w:val="akapitdomyslny1"/>
    <w:basedOn w:val="Domylnaczcionkaakapitu"/>
  </w:style>
  <w:style w:type="paragraph" w:customStyle="1" w:styleId="Tekstpodstawowy31">
    <w:name w:val="Tekst podstawowy 31"/>
    <w:basedOn w:val="Normalny"/>
    <w:pPr>
      <w:suppressAutoHyphens/>
      <w:spacing w:line="360" w:lineRule="auto"/>
      <w:ind w:left="0"/>
    </w:pPr>
    <w:rPr>
      <w:szCs w:val="20"/>
    </w:rPr>
  </w:style>
  <w:style w:type="paragraph" w:customStyle="1" w:styleId="Jacek">
    <w:name w:val="Jacek"/>
    <w:basedOn w:val="Normalny"/>
    <w:pPr>
      <w:spacing w:line="360" w:lineRule="auto"/>
      <w:ind w:left="0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3325</Words>
  <Characters>19951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BUDPLAN  Sp</vt:lpstr>
    </vt:vector>
  </TitlesOfParts>
  <Company>BUDPLAN</Company>
  <LinksUpToDate>false</LinksUpToDate>
  <CharactersWithSpaces>23230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BUDPLAN  Sp</dc:title>
  <dc:subject/>
  <dc:creator>Jurkowski</dc:creator>
  <cp:keywords/>
  <cp:lastModifiedBy>iwonar</cp:lastModifiedBy>
  <cp:revision>2</cp:revision>
  <cp:lastPrinted>2010-04-16T13:43:00Z</cp:lastPrinted>
  <dcterms:created xsi:type="dcterms:W3CDTF">2018-03-09T12:21:00Z</dcterms:created>
  <dcterms:modified xsi:type="dcterms:W3CDTF">2018-03-09T12:21:00Z</dcterms:modified>
</cp:coreProperties>
</file>